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DD8" w:rsidRPr="009531CC" w:rsidRDefault="00620DD8" w:rsidP="008051E5">
      <w:pPr>
        <w:pStyle w:val="odstavec"/>
        <w:ind w:firstLine="0"/>
        <w:rPr>
          <w:b/>
        </w:rPr>
      </w:pPr>
    </w:p>
    <w:p w:rsidR="00E74FBE" w:rsidRPr="009531CC" w:rsidRDefault="00E74FBE" w:rsidP="00E74FBE">
      <w:pPr>
        <w:pStyle w:val="Zkladntext"/>
        <w:jc w:val="center"/>
      </w:pPr>
    </w:p>
    <w:p w:rsidR="00E74FBE" w:rsidRPr="009531CC" w:rsidRDefault="00E74FBE" w:rsidP="00E74FBE">
      <w:pPr>
        <w:pStyle w:val="Zkladntext"/>
        <w:jc w:val="center"/>
      </w:pPr>
    </w:p>
    <w:p w:rsidR="00E74FBE" w:rsidRPr="009531CC" w:rsidRDefault="00E74FBE" w:rsidP="00E74FBE">
      <w:pPr>
        <w:pStyle w:val="Zkladntext"/>
        <w:jc w:val="center"/>
      </w:pPr>
    </w:p>
    <w:p w:rsidR="00E74FBE" w:rsidRPr="009531CC" w:rsidRDefault="00E74FBE" w:rsidP="00E74FBE">
      <w:pPr>
        <w:pStyle w:val="Zkladntext"/>
        <w:jc w:val="center"/>
      </w:pPr>
    </w:p>
    <w:p w:rsidR="00E74FBE" w:rsidRPr="009531CC" w:rsidRDefault="00E74FBE" w:rsidP="00E74FBE">
      <w:pPr>
        <w:pStyle w:val="Zkladntext"/>
        <w:jc w:val="center"/>
      </w:pPr>
    </w:p>
    <w:p w:rsidR="00E74FBE" w:rsidRPr="009531CC" w:rsidRDefault="00E74FBE" w:rsidP="00E74FBE">
      <w:pPr>
        <w:pStyle w:val="Zkladntext"/>
        <w:jc w:val="center"/>
        <w:rPr>
          <w:sz w:val="48"/>
          <w:szCs w:val="48"/>
        </w:rPr>
      </w:pPr>
      <w:r w:rsidRPr="009531CC">
        <w:rPr>
          <w:sz w:val="48"/>
          <w:szCs w:val="48"/>
        </w:rPr>
        <w:t>Transporta Chrudim</w:t>
      </w:r>
      <w:r w:rsidR="00746B43" w:rsidRPr="009531CC">
        <w:rPr>
          <w:sz w:val="48"/>
          <w:szCs w:val="48"/>
        </w:rPr>
        <w:t xml:space="preserve"> – </w:t>
      </w:r>
      <w:r w:rsidR="005614AD" w:rsidRPr="009531CC">
        <w:rPr>
          <w:sz w:val="48"/>
          <w:szCs w:val="48"/>
        </w:rPr>
        <w:t>nový</w:t>
      </w:r>
      <w:r w:rsidR="00746B43" w:rsidRPr="009531CC">
        <w:rPr>
          <w:sz w:val="48"/>
          <w:szCs w:val="48"/>
        </w:rPr>
        <w:t xml:space="preserve"> závod</w:t>
      </w:r>
    </w:p>
    <w:p w:rsidR="00E74FBE" w:rsidRPr="009531CC" w:rsidRDefault="00E74FBE" w:rsidP="00E74FBE">
      <w:pPr>
        <w:pStyle w:val="Zkladntext"/>
        <w:jc w:val="center"/>
      </w:pPr>
    </w:p>
    <w:p w:rsidR="00E74FBE" w:rsidRPr="009531CC" w:rsidRDefault="00E74FBE" w:rsidP="00E74FBE">
      <w:pPr>
        <w:pStyle w:val="Zkladntext"/>
        <w:jc w:val="center"/>
      </w:pPr>
    </w:p>
    <w:p w:rsidR="00E74FBE" w:rsidRPr="009531CC" w:rsidRDefault="00E74FBE" w:rsidP="00E74FBE">
      <w:pPr>
        <w:pStyle w:val="Zkladntext"/>
        <w:jc w:val="center"/>
      </w:pPr>
    </w:p>
    <w:p w:rsidR="00E74FBE" w:rsidRPr="009531CC" w:rsidRDefault="00E74FBE" w:rsidP="00E74FBE">
      <w:pPr>
        <w:pStyle w:val="Zkladntext"/>
        <w:jc w:val="center"/>
      </w:pPr>
    </w:p>
    <w:p w:rsidR="0041270B" w:rsidRPr="004F6176" w:rsidRDefault="00E74FBE" w:rsidP="00E74FBE">
      <w:pPr>
        <w:pStyle w:val="Zkladntext"/>
        <w:jc w:val="center"/>
        <w:rPr>
          <w:i w:val="0"/>
          <w:sz w:val="36"/>
          <w:szCs w:val="36"/>
        </w:rPr>
      </w:pPr>
      <w:bookmarkStart w:id="0" w:name="_GoBack"/>
      <w:bookmarkEnd w:id="0"/>
      <w:r w:rsidRPr="004F6176">
        <w:rPr>
          <w:i w:val="0"/>
          <w:sz w:val="36"/>
          <w:szCs w:val="36"/>
        </w:rPr>
        <w:t xml:space="preserve">Modelové řešení proudění podzemních vod </w:t>
      </w:r>
    </w:p>
    <w:p w:rsidR="00E74FBE" w:rsidRPr="004F6176" w:rsidRDefault="00E74FBE" w:rsidP="00E74FBE">
      <w:pPr>
        <w:pStyle w:val="Zkladntext"/>
        <w:jc w:val="center"/>
        <w:rPr>
          <w:i w:val="0"/>
          <w:sz w:val="36"/>
          <w:szCs w:val="36"/>
        </w:rPr>
      </w:pPr>
      <w:r w:rsidRPr="004F6176">
        <w:rPr>
          <w:i w:val="0"/>
          <w:sz w:val="36"/>
          <w:szCs w:val="36"/>
        </w:rPr>
        <w:t xml:space="preserve">a transportu </w:t>
      </w:r>
      <w:r w:rsidR="00096E3D" w:rsidRPr="004F6176">
        <w:rPr>
          <w:i w:val="0"/>
          <w:sz w:val="36"/>
          <w:szCs w:val="36"/>
        </w:rPr>
        <w:t>chlorovaných uhlovodíků</w:t>
      </w:r>
    </w:p>
    <w:p w:rsidR="00DA2FCE" w:rsidRPr="004F6176" w:rsidRDefault="00DA2FCE" w:rsidP="00E74FBE">
      <w:pPr>
        <w:pStyle w:val="Zkladntext"/>
        <w:jc w:val="center"/>
        <w:rPr>
          <w:i w:val="0"/>
          <w:sz w:val="36"/>
          <w:szCs w:val="36"/>
        </w:rPr>
      </w:pPr>
    </w:p>
    <w:p w:rsidR="00DA2FCE" w:rsidRPr="004F6176" w:rsidRDefault="001B50DE" w:rsidP="00E74FBE">
      <w:pPr>
        <w:pStyle w:val="Zkladntext"/>
        <w:jc w:val="center"/>
        <w:rPr>
          <w:i w:val="0"/>
          <w:sz w:val="36"/>
          <w:szCs w:val="36"/>
        </w:rPr>
      </w:pPr>
      <w:r w:rsidRPr="004F6176">
        <w:rPr>
          <w:i w:val="0"/>
          <w:sz w:val="36"/>
          <w:szCs w:val="36"/>
        </w:rPr>
        <w:t>Aktualizace</w:t>
      </w:r>
      <w:r w:rsidR="00DA2FCE" w:rsidRPr="004F6176">
        <w:rPr>
          <w:i w:val="0"/>
          <w:sz w:val="36"/>
          <w:szCs w:val="36"/>
        </w:rPr>
        <w:t xml:space="preserve"> za rok 201</w:t>
      </w:r>
      <w:r w:rsidR="00891693" w:rsidRPr="004F6176">
        <w:rPr>
          <w:i w:val="0"/>
          <w:sz w:val="36"/>
          <w:szCs w:val="36"/>
        </w:rPr>
        <w:t>6</w:t>
      </w:r>
    </w:p>
    <w:p w:rsidR="003D5550" w:rsidRPr="004F6176" w:rsidRDefault="003D5550" w:rsidP="003D5550">
      <w:pPr>
        <w:pStyle w:val="StylZkladntext12bDoleva"/>
        <w:spacing w:before="120"/>
        <w:rPr>
          <w:b/>
          <w:sz w:val="22"/>
          <w:szCs w:val="22"/>
        </w:rPr>
      </w:pPr>
    </w:p>
    <w:p w:rsidR="00625778" w:rsidRPr="004F6176" w:rsidRDefault="003D5550" w:rsidP="003D5550">
      <w:pPr>
        <w:pStyle w:val="odstavec"/>
        <w:spacing w:before="0" w:after="60"/>
        <w:ind w:firstLine="0"/>
        <w:rPr>
          <w:b/>
          <w:sz w:val="22"/>
          <w:szCs w:val="22"/>
        </w:rPr>
      </w:pPr>
      <w:r w:rsidRPr="004F6176">
        <w:rPr>
          <w:b/>
        </w:rPr>
        <w:br w:type="page"/>
      </w:r>
      <w:r w:rsidR="00620DD8" w:rsidRPr="004F6176">
        <w:rPr>
          <w:b/>
          <w:sz w:val="22"/>
          <w:szCs w:val="22"/>
        </w:rPr>
        <w:lastRenderedPageBreak/>
        <w:t>Obsah</w:t>
      </w:r>
    </w:p>
    <w:p w:rsidR="003D5550" w:rsidRPr="004F6176" w:rsidRDefault="003D5550" w:rsidP="003D5550">
      <w:pPr>
        <w:pStyle w:val="odstavec"/>
        <w:spacing w:before="0" w:after="60"/>
        <w:ind w:firstLine="0"/>
        <w:rPr>
          <w:b/>
          <w:sz w:val="22"/>
          <w:szCs w:val="22"/>
        </w:rPr>
      </w:pPr>
    </w:p>
    <w:p w:rsidR="005A1133" w:rsidRPr="004F6176" w:rsidRDefault="00B74EB6">
      <w:pPr>
        <w:pStyle w:val="Obsah1"/>
        <w:tabs>
          <w:tab w:val="left" w:pos="480"/>
          <w:tab w:val="right" w:leader="dot" w:pos="937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4F6176">
        <w:rPr>
          <w:color w:val="auto"/>
          <w:sz w:val="22"/>
          <w:szCs w:val="22"/>
        </w:rPr>
        <w:fldChar w:fldCharType="begin"/>
      </w:r>
      <w:r w:rsidR="005A1133" w:rsidRPr="004F6176">
        <w:rPr>
          <w:color w:val="auto"/>
          <w:sz w:val="22"/>
          <w:szCs w:val="22"/>
        </w:rPr>
        <w:instrText xml:space="preserve"> TOC \o "1-1" \h \z \t "Nadpis 2;2;Nadpis 3;3;Nadpis 4;4" </w:instrText>
      </w:r>
      <w:r w:rsidRPr="004F6176">
        <w:rPr>
          <w:color w:val="auto"/>
          <w:sz w:val="22"/>
          <w:szCs w:val="22"/>
        </w:rPr>
        <w:fldChar w:fldCharType="separate"/>
      </w:r>
      <w:hyperlink w:anchor="_Toc405386144" w:history="1">
        <w:r w:rsidR="005A1133" w:rsidRPr="004F6176">
          <w:rPr>
            <w:rStyle w:val="Hypertextovodkaz"/>
            <w:noProof/>
            <w:color w:val="auto"/>
          </w:rPr>
          <w:t>1</w:t>
        </w:r>
        <w:r w:rsidR="005A1133" w:rsidRPr="004F6176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Úvod</w:t>
        </w:r>
        <w:r w:rsidR="005A1133" w:rsidRPr="004F6176">
          <w:rPr>
            <w:noProof/>
            <w:webHidden/>
            <w:color w:val="auto"/>
          </w:rPr>
          <w:tab/>
        </w:r>
        <w:r w:rsidRPr="004F6176">
          <w:rPr>
            <w:noProof/>
            <w:webHidden/>
            <w:color w:val="auto"/>
          </w:rPr>
          <w:fldChar w:fldCharType="begin"/>
        </w:r>
        <w:r w:rsidR="005A1133" w:rsidRPr="004F6176">
          <w:rPr>
            <w:noProof/>
            <w:webHidden/>
            <w:color w:val="auto"/>
          </w:rPr>
          <w:instrText xml:space="preserve"> PAGEREF _Toc405386144 \h </w:instrText>
        </w:r>
        <w:r w:rsidRPr="004F6176">
          <w:rPr>
            <w:noProof/>
            <w:webHidden/>
            <w:color w:val="auto"/>
          </w:rPr>
        </w:r>
        <w:r w:rsidRPr="004F6176">
          <w:rPr>
            <w:noProof/>
            <w:webHidden/>
            <w:color w:val="auto"/>
          </w:rPr>
          <w:fldChar w:fldCharType="separate"/>
        </w:r>
        <w:r w:rsidR="00B7126C" w:rsidRPr="004F6176">
          <w:rPr>
            <w:noProof/>
            <w:webHidden/>
            <w:color w:val="auto"/>
          </w:rPr>
          <w:t>4</w:t>
        </w:r>
        <w:r w:rsidRPr="004F6176">
          <w:rPr>
            <w:noProof/>
            <w:webHidden/>
            <w:color w:val="auto"/>
          </w:rPr>
          <w:fldChar w:fldCharType="end"/>
        </w:r>
      </w:hyperlink>
    </w:p>
    <w:p w:rsidR="005A1133" w:rsidRPr="004F6176" w:rsidRDefault="007B5073">
      <w:pPr>
        <w:pStyle w:val="Obsah1"/>
        <w:tabs>
          <w:tab w:val="left" w:pos="480"/>
          <w:tab w:val="right" w:leader="dot" w:pos="937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05386145" w:history="1">
        <w:r w:rsidR="005A1133" w:rsidRPr="004F6176">
          <w:rPr>
            <w:rStyle w:val="Hypertextovodkaz"/>
            <w:noProof/>
            <w:color w:val="auto"/>
          </w:rPr>
          <w:t>2</w:t>
        </w:r>
        <w:r w:rsidR="005A1133" w:rsidRPr="004F6176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Geologické a hydrogeologické poměry</w:t>
        </w:r>
        <w:r w:rsidR="005A1133" w:rsidRPr="004F6176">
          <w:rPr>
            <w:noProof/>
            <w:webHidden/>
            <w:color w:val="auto"/>
          </w:rPr>
          <w:tab/>
        </w:r>
        <w:r w:rsidR="00B74EB6" w:rsidRPr="004F6176">
          <w:rPr>
            <w:noProof/>
            <w:webHidden/>
            <w:color w:val="auto"/>
          </w:rPr>
          <w:fldChar w:fldCharType="begin"/>
        </w:r>
        <w:r w:rsidR="005A1133" w:rsidRPr="004F6176">
          <w:rPr>
            <w:noProof/>
            <w:webHidden/>
            <w:color w:val="auto"/>
          </w:rPr>
          <w:instrText xml:space="preserve"> PAGEREF _Toc405386145 \h </w:instrText>
        </w:r>
        <w:r w:rsidR="00B74EB6" w:rsidRPr="004F6176">
          <w:rPr>
            <w:noProof/>
            <w:webHidden/>
            <w:color w:val="auto"/>
          </w:rPr>
        </w:r>
        <w:r w:rsidR="00B74EB6" w:rsidRPr="004F6176">
          <w:rPr>
            <w:noProof/>
            <w:webHidden/>
            <w:color w:val="auto"/>
          </w:rPr>
          <w:fldChar w:fldCharType="separate"/>
        </w:r>
        <w:r w:rsidR="00B7126C" w:rsidRPr="004F6176">
          <w:rPr>
            <w:noProof/>
            <w:webHidden/>
            <w:color w:val="auto"/>
          </w:rPr>
          <w:t>5</w:t>
        </w:r>
        <w:r w:rsidR="00B74EB6" w:rsidRPr="004F6176">
          <w:rPr>
            <w:noProof/>
            <w:webHidden/>
            <w:color w:val="auto"/>
          </w:rPr>
          <w:fldChar w:fldCharType="end"/>
        </w:r>
      </w:hyperlink>
    </w:p>
    <w:p w:rsidR="005A1133" w:rsidRPr="004F6176" w:rsidRDefault="007B5073">
      <w:pPr>
        <w:pStyle w:val="Obsah1"/>
        <w:tabs>
          <w:tab w:val="left" w:pos="480"/>
          <w:tab w:val="right" w:leader="dot" w:pos="937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05386146" w:history="1">
        <w:r w:rsidR="005A1133" w:rsidRPr="004F6176">
          <w:rPr>
            <w:rStyle w:val="Hypertextovodkaz"/>
            <w:noProof/>
            <w:color w:val="auto"/>
          </w:rPr>
          <w:t>3</w:t>
        </w:r>
        <w:r w:rsidR="005A1133" w:rsidRPr="004F6176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Geometrie modelových oblastí a vstupní data</w:t>
        </w:r>
        <w:r w:rsidR="005A1133" w:rsidRPr="004F6176">
          <w:rPr>
            <w:noProof/>
            <w:webHidden/>
            <w:color w:val="auto"/>
          </w:rPr>
          <w:tab/>
        </w:r>
        <w:r w:rsidR="00B74EB6" w:rsidRPr="004F6176">
          <w:rPr>
            <w:noProof/>
            <w:webHidden/>
            <w:color w:val="auto"/>
          </w:rPr>
          <w:fldChar w:fldCharType="begin"/>
        </w:r>
        <w:r w:rsidR="005A1133" w:rsidRPr="004F6176">
          <w:rPr>
            <w:noProof/>
            <w:webHidden/>
            <w:color w:val="auto"/>
          </w:rPr>
          <w:instrText xml:space="preserve"> PAGEREF _Toc405386146 \h </w:instrText>
        </w:r>
        <w:r w:rsidR="00B74EB6" w:rsidRPr="004F6176">
          <w:rPr>
            <w:noProof/>
            <w:webHidden/>
            <w:color w:val="auto"/>
          </w:rPr>
        </w:r>
        <w:r w:rsidR="00B74EB6" w:rsidRPr="004F6176">
          <w:rPr>
            <w:noProof/>
            <w:webHidden/>
            <w:color w:val="auto"/>
          </w:rPr>
          <w:fldChar w:fldCharType="separate"/>
        </w:r>
        <w:r w:rsidR="00B7126C" w:rsidRPr="004F6176">
          <w:rPr>
            <w:noProof/>
            <w:webHidden/>
            <w:color w:val="auto"/>
          </w:rPr>
          <w:t>5</w:t>
        </w:r>
        <w:r w:rsidR="00B74EB6" w:rsidRPr="004F6176">
          <w:rPr>
            <w:noProof/>
            <w:webHidden/>
            <w:color w:val="auto"/>
          </w:rPr>
          <w:fldChar w:fldCharType="end"/>
        </w:r>
      </w:hyperlink>
    </w:p>
    <w:p w:rsidR="005A1133" w:rsidRPr="004F6176" w:rsidRDefault="007B5073">
      <w:pPr>
        <w:pStyle w:val="Obsah2"/>
        <w:tabs>
          <w:tab w:val="left" w:pos="960"/>
          <w:tab w:val="right" w:leader="dot" w:pos="93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386147" w:history="1">
        <w:r w:rsidR="005A1133" w:rsidRPr="004F6176">
          <w:rPr>
            <w:rStyle w:val="Hypertextovodkaz"/>
            <w:noProof/>
            <w:color w:val="auto"/>
          </w:rPr>
          <w:t>3.1</w:t>
        </w:r>
        <w:r w:rsidR="005A1133" w:rsidRPr="004F61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Geometrie modelových oblastí</w:t>
        </w:r>
        <w:r w:rsidR="005A1133" w:rsidRPr="004F6176">
          <w:rPr>
            <w:noProof/>
            <w:webHidden/>
          </w:rPr>
          <w:tab/>
        </w:r>
        <w:r w:rsidR="00B74EB6" w:rsidRPr="004F6176">
          <w:rPr>
            <w:noProof/>
            <w:webHidden/>
          </w:rPr>
          <w:fldChar w:fldCharType="begin"/>
        </w:r>
        <w:r w:rsidR="005A1133" w:rsidRPr="004F6176">
          <w:rPr>
            <w:noProof/>
            <w:webHidden/>
          </w:rPr>
          <w:instrText xml:space="preserve"> PAGEREF _Toc405386147 \h </w:instrText>
        </w:r>
        <w:r w:rsidR="00B74EB6" w:rsidRPr="004F6176">
          <w:rPr>
            <w:noProof/>
            <w:webHidden/>
          </w:rPr>
        </w:r>
        <w:r w:rsidR="00B74EB6" w:rsidRPr="004F6176">
          <w:rPr>
            <w:noProof/>
            <w:webHidden/>
          </w:rPr>
          <w:fldChar w:fldCharType="separate"/>
        </w:r>
        <w:r w:rsidR="00B7126C" w:rsidRPr="004F6176">
          <w:rPr>
            <w:noProof/>
            <w:webHidden/>
          </w:rPr>
          <w:t>5</w:t>
        </w:r>
        <w:r w:rsidR="00B74EB6" w:rsidRPr="004F6176">
          <w:rPr>
            <w:noProof/>
            <w:webHidden/>
          </w:rPr>
          <w:fldChar w:fldCharType="end"/>
        </w:r>
      </w:hyperlink>
    </w:p>
    <w:p w:rsidR="005A1133" w:rsidRPr="004F6176" w:rsidRDefault="007B5073">
      <w:pPr>
        <w:pStyle w:val="Obsah3"/>
        <w:tabs>
          <w:tab w:val="left" w:pos="1200"/>
          <w:tab w:val="right" w:leader="dot" w:pos="93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386148" w:history="1">
        <w:r w:rsidR="005A1133" w:rsidRPr="004F6176">
          <w:rPr>
            <w:rStyle w:val="Hypertextovodkaz"/>
            <w:noProof/>
            <w:color w:val="auto"/>
          </w:rPr>
          <w:t>3.1.1</w:t>
        </w:r>
        <w:r w:rsidR="005A1133" w:rsidRPr="004F61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Vývoj tlakové úrovně křídových kolektorů z hlediska zranitelnosti podzemní vody</w:t>
        </w:r>
        <w:r w:rsidR="005A1133" w:rsidRPr="004F6176">
          <w:rPr>
            <w:noProof/>
            <w:webHidden/>
          </w:rPr>
          <w:tab/>
        </w:r>
        <w:r w:rsidR="00B74EB6" w:rsidRPr="004F6176">
          <w:rPr>
            <w:noProof/>
            <w:webHidden/>
          </w:rPr>
          <w:fldChar w:fldCharType="begin"/>
        </w:r>
        <w:r w:rsidR="005A1133" w:rsidRPr="004F6176">
          <w:rPr>
            <w:noProof/>
            <w:webHidden/>
          </w:rPr>
          <w:instrText xml:space="preserve"> PAGEREF _Toc405386148 \h </w:instrText>
        </w:r>
        <w:r w:rsidR="00B74EB6" w:rsidRPr="004F6176">
          <w:rPr>
            <w:noProof/>
            <w:webHidden/>
          </w:rPr>
        </w:r>
        <w:r w:rsidR="00B74EB6" w:rsidRPr="004F6176">
          <w:rPr>
            <w:noProof/>
            <w:webHidden/>
          </w:rPr>
          <w:fldChar w:fldCharType="separate"/>
        </w:r>
        <w:r w:rsidR="00B7126C" w:rsidRPr="004F6176">
          <w:rPr>
            <w:noProof/>
            <w:webHidden/>
          </w:rPr>
          <w:t>5</w:t>
        </w:r>
        <w:r w:rsidR="00B74EB6" w:rsidRPr="004F6176">
          <w:rPr>
            <w:noProof/>
            <w:webHidden/>
          </w:rPr>
          <w:fldChar w:fldCharType="end"/>
        </w:r>
      </w:hyperlink>
    </w:p>
    <w:p w:rsidR="005A1133" w:rsidRPr="004F6176" w:rsidRDefault="007B5073">
      <w:pPr>
        <w:pStyle w:val="Obsah3"/>
        <w:tabs>
          <w:tab w:val="left" w:pos="1200"/>
          <w:tab w:val="right" w:leader="dot" w:pos="93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386149" w:history="1">
        <w:r w:rsidR="005A1133" w:rsidRPr="004F6176">
          <w:rPr>
            <w:rStyle w:val="Hypertextovodkaz"/>
            <w:noProof/>
            <w:color w:val="auto"/>
          </w:rPr>
          <w:t>3.1.2</w:t>
        </w:r>
        <w:r w:rsidR="005A1133" w:rsidRPr="004F61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Rozsah modelového řešení</w:t>
        </w:r>
        <w:r w:rsidR="005A1133" w:rsidRPr="004F6176">
          <w:rPr>
            <w:noProof/>
            <w:webHidden/>
          </w:rPr>
          <w:tab/>
        </w:r>
        <w:r w:rsidR="00B74EB6" w:rsidRPr="004F6176">
          <w:rPr>
            <w:noProof/>
            <w:webHidden/>
          </w:rPr>
          <w:fldChar w:fldCharType="begin"/>
        </w:r>
        <w:r w:rsidR="005A1133" w:rsidRPr="004F6176">
          <w:rPr>
            <w:noProof/>
            <w:webHidden/>
          </w:rPr>
          <w:instrText xml:space="preserve"> PAGEREF _Toc405386149 \h </w:instrText>
        </w:r>
        <w:r w:rsidR="00B74EB6" w:rsidRPr="004F6176">
          <w:rPr>
            <w:noProof/>
            <w:webHidden/>
          </w:rPr>
        </w:r>
        <w:r w:rsidR="00B74EB6" w:rsidRPr="004F6176">
          <w:rPr>
            <w:noProof/>
            <w:webHidden/>
          </w:rPr>
          <w:fldChar w:fldCharType="separate"/>
        </w:r>
        <w:r w:rsidR="00B7126C" w:rsidRPr="004F6176">
          <w:rPr>
            <w:noProof/>
            <w:webHidden/>
          </w:rPr>
          <w:t>6</w:t>
        </w:r>
        <w:r w:rsidR="00B74EB6" w:rsidRPr="004F6176">
          <w:rPr>
            <w:noProof/>
            <w:webHidden/>
          </w:rPr>
          <w:fldChar w:fldCharType="end"/>
        </w:r>
      </w:hyperlink>
    </w:p>
    <w:p w:rsidR="005A1133" w:rsidRPr="004F6176" w:rsidRDefault="007B5073">
      <w:pPr>
        <w:pStyle w:val="Obsah2"/>
        <w:tabs>
          <w:tab w:val="left" w:pos="960"/>
          <w:tab w:val="right" w:leader="dot" w:pos="93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386150" w:history="1">
        <w:r w:rsidR="005A1133" w:rsidRPr="004F6176">
          <w:rPr>
            <w:rStyle w:val="Hypertextovodkaz"/>
            <w:noProof/>
            <w:color w:val="auto"/>
          </w:rPr>
          <w:t xml:space="preserve">3.2 </w:t>
        </w:r>
        <w:r w:rsidR="005A1133" w:rsidRPr="004F61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Vstupní data</w:t>
        </w:r>
        <w:r w:rsidR="005A1133" w:rsidRPr="004F6176">
          <w:rPr>
            <w:noProof/>
            <w:webHidden/>
          </w:rPr>
          <w:tab/>
        </w:r>
        <w:r w:rsidR="00B74EB6" w:rsidRPr="004F6176">
          <w:rPr>
            <w:noProof/>
            <w:webHidden/>
          </w:rPr>
          <w:fldChar w:fldCharType="begin"/>
        </w:r>
        <w:r w:rsidR="005A1133" w:rsidRPr="004F6176">
          <w:rPr>
            <w:noProof/>
            <w:webHidden/>
          </w:rPr>
          <w:instrText xml:space="preserve"> PAGEREF _Toc405386150 \h </w:instrText>
        </w:r>
        <w:r w:rsidR="00B74EB6" w:rsidRPr="004F6176">
          <w:rPr>
            <w:noProof/>
            <w:webHidden/>
          </w:rPr>
        </w:r>
        <w:r w:rsidR="00B74EB6" w:rsidRPr="004F6176">
          <w:rPr>
            <w:noProof/>
            <w:webHidden/>
          </w:rPr>
          <w:fldChar w:fldCharType="separate"/>
        </w:r>
        <w:r w:rsidR="00B7126C" w:rsidRPr="004F6176">
          <w:rPr>
            <w:noProof/>
            <w:webHidden/>
          </w:rPr>
          <w:t>7</w:t>
        </w:r>
        <w:r w:rsidR="00B74EB6" w:rsidRPr="004F6176">
          <w:rPr>
            <w:noProof/>
            <w:webHidden/>
          </w:rPr>
          <w:fldChar w:fldCharType="end"/>
        </w:r>
      </w:hyperlink>
    </w:p>
    <w:p w:rsidR="005A1133" w:rsidRPr="004F6176" w:rsidRDefault="007B5073">
      <w:pPr>
        <w:pStyle w:val="Obsah3"/>
        <w:tabs>
          <w:tab w:val="left" w:pos="1200"/>
          <w:tab w:val="right" w:leader="dot" w:pos="93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386151" w:history="1">
        <w:r w:rsidR="005A1133" w:rsidRPr="004F6176">
          <w:rPr>
            <w:rStyle w:val="Hypertextovodkaz"/>
            <w:noProof/>
            <w:color w:val="auto"/>
          </w:rPr>
          <w:t>3.2.1</w:t>
        </w:r>
        <w:r w:rsidR="005A1133" w:rsidRPr="004F61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Hydraulická část</w:t>
        </w:r>
        <w:r w:rsidR="005A1133" w:rsidRPr="004F6176">
          <w:rPr>
            <w:noProof/>
            <w:webHidden/>
          </w:rPr>
          <w:tab/>
        </w:r>
        <w:r w:rsidR="00B74EB6" w:rsidRPr="004F6176">
          <w:rPr>
            <w:noProof/>
            <w:webHidden/>
          </w:rPr>
          <w:fldChar w:fldCharType="begin"/>
        </w:r>
        <w:r w:rsidR="005A1133" w:rsidRPr="004F6176">
          <w:rPr>
            <w:noProof/>
            <w:webHidden/>
          </w:rPr>
          <w:instrText xml:space="preserve"> PAGEREF _Toc405386151 \h </w:instrText>
        </w:r>
        <w:r w:rsidR="00B74EB6" w:rsidRPr="004F6176">
          <w:rPr>
            <w:noProof/>
            <w:webHidden/>
          </w:rPr>
        </w:r>
        <w:r w:rsidR="00B74EB6" w:rsidRPr="004F6176">
          <w:rPr>
            <w:noProof/>
            <w:webHidden/>
          </w:rPr>
          <w:fldChar w:fldCharType="separate"/>
        </w:r>
        <w:r w:rsidR="00B7126C" w:rsidRPr="004F6176">
          <w:rPr>
            <w:noProof/>
            <w:webHidden/>
          </w:rPr>
          <w:t>7</w:t>
        </w:r>
        <w:r w:rsidR="00B74EB6" w:rsidRPr="004F6176">
          <w:rPr>
            <w:noProof/>
            <w:webHidden/>
          </w:rPr>
          <w:fldChar w:fldCharType="end"/>
        </w:r>
      </w:hyperlink>
    </w:p>
    <w:p w:rsidR="005A1133" w:rsidRPr="004F6176" w:rsidRDefault="007B5073">
      <w:pPr>
        <w:pStyle w:val="Obsah3"/>
        <w:tabs>
          <w:tab w:val="left" w:pos="1200"/>
          <w:tab w:val="right" w:leader="dot" w:pos="93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386152" w:history="1">
        <w:r w:rsidR="005A1133" w:rsidRPr="004F6176">
          <w:rPr>
            <w:rStyle w:val="Hypertextovodkaz"/>
            <w:noProof/>
            <w:color w:val="auto"/>
          </w:rPr>
          <w:t>3.2.2</w:t>
        </w:r>
        <w:r w:rsidR="005A1133" w:rsidRPr="004F61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Transportní část</w:t>
        </w:r>
        <w:r w:rsidR="005A1133" w:rsidRPr="004F6176">
          <w:rPr>
            <w:noProof/>
            <w:webHidden/>
          </w:rPr>
          <w:tab/>
        </w:r>
        <w:r w:rsidR="00B74EB6" w:rsidRPr="004F6176">
          <w:rPr>
            <w:noProof/>
            <w:webHidden/>
          </w:rPr>
          <w:fldChar w:fldCharType="begin"/>
        </w:r>
        <w:r w:rsidR="005A1133" w:rsidRPr="004F6176">
          <w:rPr>
            <w:noProof/>
            <w:webHidden/>
          </w:rPr>
          <w:instrText xml:space="preserve"> PAGEREF _Toc405386152 \h </w:instrText>
        </w:r>
        <w:r w:rsidR="00B74EB6" w:rsidRPr="004F6176">
          <w:rPr>
            <w:noProof/>
            <w:webHidden/>
          </w:rPr>
        </w:r>
        <w:r w:rsidR="00B74EB6" w:rsidRPr="004F6176">
          <w:rPr>
            <w:noProof/>
            <w:webHidden/>
          </w:rPr>
          <w:fldChar w:fldCharType="separate"/>
        </w:r>
        <w:r w:rsidR="00B7126C" w:rsidRPr="004F6176">
          <w:rPr>
            <w:noProof/>
            <w:webHidden/>
          </w:rPr>
          <w:t>8</w:t>
        </w:r>
        <w:r w:rsidR="00B74EB6" w:rsidRPr="004F6176">
          <w:rPr>
            <w:noProof/>
            <w:webHidden/>
          </w:rPr>
          <w:fldChar w:fldCharType="end"/>
        </w:r>
      </w:hyperlink>
    </w:p>
    <w:p w:rsidR="005A1133" w:rsidRPr="004F6176" w:rsidRDefault="007B5073">
      <w:pPr>
        <w:pStyle w:val="Obsah1"/>
        <w:tabs>
          <w:tab w:val="left" w:pos="480"/>
          <w:tab w:val="right" w:leader="dot" w:pos="937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05386153" w:history="1">
        <w:r w:rsidR="005A1133" w:rsidRPr="004F6176">
          <w:rPr>
            <w:rStyle w:val="Hypertextovodkaz"/>
            <w:noProof/>
            <w:color w:val="auto"/>
          </w:rPr>
          <w:t>4</w:t>
        </w:r>
        <w:r w:rsidR="005A1133" w:rsidRPr="004F6176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Kalibrace modelu</w:t>
        </w:r>
        <w:r w:rsidR="005A1133" w:rsidRPr="004F6176">
          <w:rPr>
            <w:noProof/>
            <w:webHidden/>
            <w:color w:val="auto"/>
          </w:rPr>
          <w:tab/>
        </w:r>
        <w:r w:rsidR="00B74EB6" w:rsidRPr="004F6176">
          <w:rPr>
            <w:noProof/>
            <w:webHidden/>
            <w:color w:val="auto"/>
          </w:rPr>
          <w:fldChar w:fldCharType="begin"/>
        </w:r>
        <w:r w:rsidR="005A1133" w:rsidRPr="004F6176">
          <w:rPr>
            <w:noProof/>
            <w:webHidden/>
            <w:color w:val="auto"/>
          </w:rPr>
          <w:instrText xml:space="preserve"> PAGEREF _Toc405386153 \h </w:instrText>
        </w:r>
        <w:r w:rsidR="00B74EB6" w:rsidRPr="004F6176">
          <w:rPr>
            <w:noProof/>
            <w:webHidden/>
            <w:color w:val="auto"/>
          </w:rPr>
        </w:r>
        <w:r w:rsidR="00B74EB6" w:rsidRPr="004F6176">
          <w:rPr>
            <w:noProof/>
            <w:webHidden/>
            <w:color w:val="auto"/>
          </w:rPr>
          <w:fldChar w:fldCharType="separate"/>
        </w:r>
        <w:r w:rsidR="00B7126C" w:rsidRPr="004F6176">
          <w:rPr>
            <w:noProof/>
            <w:webHidden/>
            <w:color w:val="auto"/>
          </w:rPr>
          <w:t>8</w:t>
        </w:r>
        <w:r w:rsidR="00B74EB6" w:rsidRPr="004F6176">
          <w:rPr>
            <w:noProof/>
            <w:webHidden/>
            <w:color w:val="auto"/>
          </w:rPr>
          <w:fldChar w:fldCharType="end"/>
        </w:r>
      </w:hyperlink>
    </w:p>
    <w:p w:rsidR="005A1133" w:rsidRPr="004F6176" w:rsidRDefault="007B5073">
      <w:pPr>
        <w:pStyle w:val="Obsah1"/>
        <w:tabs>
          <w:tab w:val="left" w:pos="480"/>
          <w:tab w:val="right" w:leader="dot" w:pos="937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05386154" w:history="1">
        <w:r w:rsidR="005A1133" w:rsidRPr="004F6176">
          <w:rPr>
            <w:rStyle w:val="Hypertextovodkaz"/>
            <w:noProof/>
            <w:color w:val="auto"/>
          </w:rPr>
          <w:t>5</w:t>
        </w:r>
        <w:r w:rsidR="005A1133" w:rsidRPr="004F6176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Výsledky modelového řešení</w:t>
        </w:r>
        <w:r w:rsidR="005A1133" w:rsidRPr="004F6176">
          <w:rPr>
            <w:noProof/>
            <w:webHidden/>
            <w:color w:val="auto"/>
          </w:rPr>
          <w:tab/>
        </w:r>
        <w:r w:rsidR="00B74EB6" w:rsidRPr="004F6176">
          <w:rPr>
            <w:noProof/>
            <w:webHidden/>
            <w:color w:val="auto"/>
          </w:rPr>
          <w:fldChar w:fldCharType="begin"/>
        </w:r>
        <w:r w:rsidR="005A1133" w:rsidRPr="004F6176">
          <w:rPr>
            <w:noProof/>
            <w:webHidden/>
            <w:color w:val="auto"/>
          </w:rPr>
          <w:instrText xml:space="preserve"> PAGEREF _Toc405386154 \h </w:instrText>
        </w:r>
        <w:r w:rsidR="00B74EB6" w:rsidRPr="004F6176">
          <w:rPr>
            <w:noProof/>
            <w:webHidden/>
            <w:color w:val="auto"/>
          </w:rPr>
        </w:r>
        <w:r w:rsidR="00B74EB6" w:rsidRPr="004F6176">
          <w:rPr>
            <w:noProof/>
            <w:webHidden/>
            <w:color w:val="auto"/>
          </w:rPr>
          <w:fldChar w:fldCharType="separate"/>
        </w:r>
        <w:r w:rsidR="00B7126C" w:rsidRPr="004F6176">
          <w:rPr>
            <w:noProof/>
            <w:webHidden/>
            <w:color w:val="auto"/>
          </w:rPr>
          <w:t>10</w:t>
        </w:r>
        <w:r w:rsidR="00B74EB6" w:rsidRPr="004F6176">
          <w:rPr>
            <w:noProof/>
            <w:webHidden/>
            <w:color w:val="auto"/>
          </w:rPr>
          <w:fldChar w:fldCharType="end"/>
        </w:r>
      </w:hyperlink>
    </w:p>
    <w:p w:rsidR="005A1133" w:rsidRPr="004F6176" w:rsidRDefault="007B5073">
      <w:pPr>
        <w:pStyle w:val="Obsah2"/>
        <w:tabs>
          <w:tab w:val="left" w:pos="960"/>
          <w:tab w:val="right" w:leader="dot" w:pos="93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386155" w:history="1">
        <w:r w:rsidR="005A1133" w:rsidRPr="004F6176">
          <w:rPr>
            <w:rStyle w:val="Hypertextovodkaz"/>
            <w:noProof/>
            <w:color w:val="auto"/>
          </w:rPr>
          <w:t>5.1</w:t>
        </w:r>
        <w:r w:rsidR="005A1133" w:rsidRPr="004F61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 xml:space="preserve"> Hydraulická část</w:t>
        </w:r>
        <w:r w:rsidR="005A1133" w:rsidRPr="004F6176">
          <w:rPr>
            <w:noProof/>
            <w:webHidden/>
          </w:rPr>
          <w:tab/>
        </w:r>
        <w:r w:rsidR="00B74EB6" w:rsidRPr="004F6176">
          <w:rPr>
            <w:noProof/>
            <w:webHidden/>
          </w:rPr>
          <w:fldChar w:fldCharType="begin"/>
        </w:r>
        <w:r w:rsidR="005A1133" w:rsidRPr="004F6176">
          <w:rPr>
            <w:noProof/>
            <w:webHidden/>
          </w:rPr>
          <w:instrText xml:space="preserve"> PAGEREF _Toc405386155 \h </w:instrText>
        </w:r>
        <w:r w:rsidR="00B74EB6" w:rsidRPr="004F6176">
          <w:rPr>
            <w:noProof/>
            <w:webHidden/>
          </w:rPr>
        </w:r>
        <w:r w:rsidR="00B74EB6" w:rsidRPr="004F6176">
          <w:rPr>
            <w:noProof/>
            <w:webHidden/>
          </w:rPr>
          <w:fldChar w:fldCharType="separate"/>
        </w:r>
        <w:r w:rsidR="00B7126C" w:rsidRPr="004F6176">
          <w:rPr>
            <w:noProof/>
            <w:webHidden/>
          </w:rPr>
          <w:t>10</w:t>
        </w:r>
        <w:r w:rsidR="00B74EB6" w:rsidRPr="004F6176">
          <w:rPr>
            <w:noProof/>
            <w:webHidden/>
          </w:rPr>
          <w:fldChar w:fldCharType="end"/>
        </w:r>
      </w:hyperlink>
    </w:p>
    <w:p w:rsidR="005A1133" w:rsidRPr="004F6176" w:rsidRDefault="007B5073">
      <w:pPr>
        <w:pStyle w:val="Obsah3"/>
        <w:tabs>
          <w:tab w:val="left" w:pos="1200"/>
          <w:tab w:val="right" w:leader="dot" w:pos="93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386156" w:history="1">
        <w:r w:rsidR="005A1133" w:rsidRPr="004F6176">
          <w:rPr>
            <w:rStyle w:val="Hypertextovodkaz"/>
            <w:noProof/>
            <w:color w:val="auto"/>
          </w:rPr>
          <w:t>5.1.1</w:t>
        </w:r>
        <w:r w:rsidR="005A1133" w:rsidRPr="004F61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Nestacionární simulace ovlivněného proudění podzemní vody</w:t>
        </w:r>
        <w:r w:rsidR="005A1133" w:rsidRPr="004F6176">
          <w:rPr>
            <w:noProof/>
            <w:webHidden/>
          </w:rPr>
          <w:tab/>
        </w:r>
        <w:r w:rsidR="00B74EB6" w:rsidRPr="004F6176">
          <w:rPr>
            <w:noProof/>
            <w:webHidden/>
          </w:rPr>
          <w:fldChar w:fldCharType="begin"/>
        </w:r>
        <w:r w:rsidR="005A1133" w:rsidRPr="004F6176">
          <w:rPr>
            <w:noProof/>
            <w:webHidden/>
          </w:rPr>
          <w:instrText xml:space="preserve"> PAGEREF _Toc405386156 \h </w:instrText>
        </w:r>
        <w:r w:rsidR="00B74EB6" w:rsidRPr="004F6176">
          <w:rPr>
            <w:noProof/>
            <w:webHidden/>
          </w:rPr>
        </w:r>
        <w:r w:rsidR="00B74EB6" w:rsidRPr="004F6176">
          <w:rPr>
            <w:noProof/>
            <w:webHidden/>
          </w:rPr>
          <w:fldChar w:fldCharType="separate"/>
        </w:r>
        <w:r w:rsidR="00B7126C" w:rsidRPr="004F6176">
          <w:rPr>
            <w:noProof/>
            <w:webHidden/>
          </w:rPr>
          <w:t>10</w:t>
        </w:r>
        <w:r w:rsidR="00B74EB6" w:rsidRPr="004F6176">
          <w:rPr>
            <w:noProof/>
            <w:webHidden/>
          </w:rPr>
          <w:fldChar w:fldCharType="end"/>
        </w:r>
      </w:hyperlink>
    </w:p>
    <w:p w:rsidR="005A1133" w:rsidRPr="004F6176" w:rsidRDefault="007B5073">
      <w:pPr>
        <w:pStyle w:val="Obsah3"/>
        <w:tabs>
          <w:tab w:val="left" w:pos="1200"/>
          <w:tab w:val="right" w:leader="dot" w:pos="93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386157" w:history="1">
        <w:r w:rsidR="005A1133" w:rsidRPr="004F6176">
          <w:rPr>
            <w:rStyle w:val="Hypertextovodkaz"/>
            <w:noProof/>
            <w:color w:val="auto"/>
          </w:rPr>
          <w:t>5.1.2</w:t>
        </w:r>
        <w:r w:rsidR="005A1133" w:rsidRPr="004F61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Vývoj výšky hladin podzemní vody</w:t>
        </w:r>
        <w:r w:rsidR="005A1133" w:rsidRPr="004F6176">
          <w:rPr>
            <w:noProof/>
            <w:webHidden/>
          </w:rPr>
          <w:tab/>
        </w:r>
        <w:r w:rsidR="00B74EB6" w:rsidRPr="004F6176">
          <w:rPr>
            <w:noProof/>
            <w:webHidden/>
          </w:rPr>
          <w:fldChar w:fldCharType="begin"/>
        </w:r>
        <w:r w:rsidR="005A1133" w:rsidRPr="004F6176">
          <w:rPr>
            <w:noProof/>
            <w:webHidden/>
          </w:rPr>
          <w:instrText xml:space="preserve"> PAGEREF _Toc405386157 \h </w:instrText>
        </w:r>
        <w:r w:rsidR="00B74EB6" w:rsidRPr="004F6176">
          <w:rPr>
            <w:noProof/>
            <w:webHidden/>
          </w:rPr>
        </w:r>
        <w:r w:rsidR="00B74EB6" w:rsidRPr="004F6176">
          <w:rPr>
            <w:noProof/>
            <w:webHidden/>
          </w:rPr>
          <w:fldChar w:fldCharType="separate"/>
        </w:r>
        <w:r w:rsidR="00B7126C" w:rsidRPr="004F6176">
          <w:rPr>
            <w:noProof/>
            <w:webHidden/>
          </w:rPr>
          <w:t>11</w:t>
        </w:r>
        <w:r w:rsidR="00B74EB6" w:rsidRPr="004F6176">
          <w:rPr>
            <w:noProof/>
            <w:webHidden/>
          </w:rPr>
          <w:fldChar w:fldCharType="end"/>
        </w:r>
      </w:hyperlink>
    </w:p>
    <w:p w:rsidR="005A1133" w:rsidRPr="004F6176" w:rsidRDefault="007B5073">
      <w:pPr>
        <w:pStyle w:val="Obsah2"/>
        <w:tabs>
          <w:tab w:val="left" w:pos="960"/>
          <w:tab w:val="right" w:leader="dot" w:pos="93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386158" w:history="1">
        <w:r w:rsidR="005A1133" w:rsidRPr="004F6176">
          <w:rPr>
            <w:rStyle w:val="Hypertextovodkaz"/>
            <w:noProof/>
            <w:color w:val="auto"/>
          </w:rPr>
          <w:t>5.2</w:t>
        </w:r>
        <w:r w:rsidR="005A1133" w:rsidRPr="004F61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Transportní část</w:t>
        </w:r>
        <w:r w:rsidR="005A1133" w:rsidRPr="004F6176">
          <w:rPr>
            <w:noProof/>
            <w:webHidden/>
          </w:rPr>
          <w:tab/>
        </w:r>
        <w:r w:rsidR="00B74EB6" w:rsidRPr="004F6176">
          <w:rPr>
            <w:noProof/>
            <w:webHidden/>
          </w:rPr>
          <w:fldChar w:fldCharType="begin"/>
        </w:r>
        <w:r w:rsidR="005A1133" w:rsidRPr="004F6176">
          <w:rPr>
            <w:noProof/>
            <w:webHidden/>
          </w:rPr>
          <w:instrText xml:space="preserve"> PAGEREF _Toc405386158 \h </w:instrText>
        </w:r>
        <w:r w:rsidR="00B74EB6" w:rsidRPr="004F6176">
          <w:rPr>
            <w:noProof/>
            <w:webHidden/>
          </w:rPr>
        </w:r>
        <w:r w:rsidR="00B74EB6" w:rsidRPr="004F6176">
          <w:rPr>
            <w:noProof/>
            <w:webHidden/>
          </w:rPr>
          <w:fldChar w:fldCharType="separate"/>
        </w:r>
        <w:r w:rsidR="00B7126C" w:rsidRPr="004F6176">
          <w:rPr>
            <w:noProof/>
            <w:webHidden/>
          </w:rPr>
          <w:t>11</w:t>
        </w:r>
        <w:r w:rsidR="00B74EB6" w:rsidRPr="004F6176">
          <w:rPr>
            <w:noProof/>
            <w:webHidden/>
          </w:rPr>
          <w:fldChar w:fldCharType="end"/>
        </w:r>
      </w:hyperlink>
    </w:p>
    <w:p w:rsidR="005A1133" w:rsidRPr="004F6176" w:rsidRDefault="007B5073">
      <w:pPr>
        <w:pStyle w:val="Obsah3"/>
        <w:tabs>
          <w:tab w:val="left" w:pos="1200"/>
          <w:tab w:val="right" w:leader="dot" w:pos="93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386159" w:history="1">
        <w:r w:rsidR="005A1133" w:rsidRPr="004F6176">
          <w:rPr>
            <w:rStyle w:val="Hypertextovodkaz"/>
            <w:noProof/>
            <w:color w:val="auto"/>
          </w:rPr>
          <w:t>5.2.1</w:t>
        </w:r>
        <w:r w:rsidR="005A1133" w:rsidRPr="004F61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Aktuální rozsah kontaminace PCE</w:t>
        </w:r>
        <w:r w:rsidR="005A1133" w:rsidRPr="004F6176">
          <w:rPr>
            <w:noProof/>
            <w:webHidden/>
          </w:rPr>
          <w:tab/>
        </w:r>
        <w:r w:rsidR="00B74EB6" w:rsidRPr="004F6176">
          <w:rPr>
            <w:noProof/>
            <w:webHidden/>
          </w:rPr>
          <w:fldChar w:fldCharType="begin"/>
        </w:r>
        <w:r w:rsidR="005A1133" w:rsidRPr="004F6176">
          <w:rPr>
            <w:noProof/>
            <w:webHidden/>
          </w:rPr>
          <w:instrText xml:space="preserve"> PAGEREF _Toc405386159 \h </w:instrText>
        </w:r>
        <w:r w:rsidR="00B74EB6" w:rsidRPr="004F6176">
          <w:rPr>
            <w:noProof/>
            <w:webHidden/>
          </w:rPr>
        </w:r>
        <w:r w:rsidR="00B74EB6" w:rsidRPr="004F6176">
          <w:rPr>
            <w:noProof/>
            <w:webHidden/>
          </w:rPr>
          <w:fldChar w:fldCharType="separate"/>
        </w:r>
        <w:r w:rsidR="00B7126C" w:rsidRPr="004F6176">
          <w:rPr>
            <w:noProof/>
            <w:webHidden/>
          </w:rPr>
          <w:t>11</w:t>
        </w:r>
        <w:r w:rsidR="00B74EB6" w:rsidRPr="004F6176">
          <w:rPr>
            <w:noProof/>
            <w:webHidden/>
          </w:rPr>
          <w:fldChar w:fldCharType="end"/>
        </w:r>
      </w:hyperlink>
    </w:p>
    <w:p w:rsidR="005A1133" w:rsidRPr="004F6176" w:rsidRDefault="007B5073">
      <w:pPr>
        <w:pStyle w:val="Obsah3"/>
        <w:tabs>
          <w:tab w:val="left" w:pos="1200"/>
          <w:tab w:val="right" w:leader="dot" w:pos="93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386160" w:history="1">
        <w:r w:rsidR="005A1133" w:rsidRPr="004F6176">
          <w:rPr>
            <w:rStyle w:val="Hypertextovodkaz"/>
            <w:noProof/>
            <w:color w:val="auto"/>
          </w:rPr>
          <w:t>5.2.2</w:t>
        </w:r>
        <w:r w:rsidR="005A1133" w:rsidRPr="004F61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Prognózní simulace vývoje transportu PCE</w:t>
        </w:r>
        <w:r w:rsidR="005A1133" w:rsidRPr="004F6176">
          <w:rPr>
            <w:noProof/>
            <w:webHidden/>
          </w:rPr>
          <w:tab/>
        </w:r>
        <w:r w:rsidR="00B74EB6" w:rsidRPr="004F6176">
          <w:rPr>
            <w:noProof/>
            <w:webHidden/>
          </w:rPr>
          <w:fldChar w:fldCharType="begin"/>
        </w:r>
        <w:r w:rsidR="005A1133" w:rsidRPr="004F6176">
          <w:rPr>
            <w:noProof/>
            <w:webHidden/>
          </w:rPr>
          <w:instrText xml:space="preserve"> PAGEREF _Toc405386160 \h </w:instrText>
        </w:r>
        <w:r w:rsidR="00B74EB6" w:rsidRPr="004F6176">
          <w:rPr>
            <w:noProof/>
            <w:webHidden/>
          </w:rPr>
        </w:r>
        <w:r w:rsidR="00B74EB6" w:rsidRPr="004F6176">
          <w:rPr>
            <w:noProof/>
            <w:webHidden/>
          </w:rPr>
          <w:fldChar w:fldCharType="separate"/>
        </w:r>
        <w:r w:rsidR="00B7126C" w:rsidRPr="004F6176">
          <w:rPr>
            <w:noProof/>
            <w:webHidden/>
          </w:rPr>
          <w:t>12</w:t>
        </w:r>
        <w:r w:rsidR="00B74EB6" w:rsidRPr="004F6176">
          <w:rPr>
            <w:noProof/>
            <w:webHidden/>
          </w:rPr>
          <w:fldChar w:fldCharType="end"/>
        </w:r>
      </w:hyperlink>
    </w:p>
    <w:p w:rsidR="005A1133" w:rsidRPr="004F6176" w:rsidRDefault="007B5073">
      <w:pPr>
        <w:pStyle w:val="Obsah4"/>
        <w:tabs>
          <w:tab w:val="left" w:pos="1680"/>
          <w:tab w:val="right" w:leader="dot" w:pos="93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386161" w:history="1">
        <w:r w:rsidR="005A1133" w:rsidRPr="004F6176">
          <w:rPr>
            <w:rStyle w:val="Hypertextovodkaz"/>
            <w:noProof/>
            <w:color w:val="auto"/>
          </w:rPr>
          <w:t>5.2.2.1</w:t>
        </w:r>
        <w:r w:rsidR="005A1133" w:rsidRPr="004F61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Prognózní simulace transportu PCE v modelové oblasti</w:t>
        </w:r>
        <w:r w:rsidR="005A1133" w:rsidRPr="004F6176">
          <w:rPr>
            <w:noProof/>
            <w:webHidden/>
          </w:rPr>
          <w:tab/>
        </w:r>
        <w:r w:rsidR="00B74EB6" w:rsidRPr="004F6176">
          <w:rPr>
            <w:noProof/>
            <w:webHidden/>
          </w:rPr>
          <w:fldChar w:fldCharType="begin"/>
        </w:r>
        <w:r w:rsidR="005A1133" w:rsidRPr="004F6176">
          <w:rPr>
            <w:noProof/>
            <w:webHidden/>
          </w:rPr>
          <w:instrText xml:space="preserve"> PAGEREF _Toc405386161 \h </w:instrText>
        </w:r>
        <w:r w:rsidR="00B74EB6" w:rsidRPr="004F6176">
          <w:rPr>
            <w:noProof/>
            <w:webHidden/>
          </w:rPr>
        </w:r>
        <w:r w:rsidR="00B74EB6" w:rsidRPr="004F6176">
          <w:rPr>
            <w:noProof/>
            <w:webHidden/>
          </w:rPr>
          <w:fldChar w:fldCharType="separate"/>
        </w:r>
        <w:r w:rsidR="00B7126C" w:rsidRPr="004F6176">
          <w:rPr>
            <w:noProof/>
            <w:webHidden/>
          </w:rPr>
          <w:t>12</w:t>
        </w:r>
        <w:r w:rsidR="00B74EB6" w:rsidRPr="004F6176">
          <w:rPr>
            <w:noProof/>
            <w:webHidden/>
          </w:rPr>
          <w:fldChar w:fldCharType="end"/>
        </w:r>
      </w:hyperlink>
    </w:p>
    <w:p w:rsidR="005A1133" w:rsidRPr="004F6176" w:rsidRDefault="007B5073">
      <w:pPr>
        <w:pStyle w:val="Obsah4"/>
        <w:tabs>
          <w:tab w:val="left" w:pos="1680"/>
          <w:tab w:val="right" w:leader="dot" w:pos="93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386162" w:history="1">
        <w:r w:rsidR="005A1133" w:rsidRPr="004F6176">
          <w:rPr>
            <w:rStyle w:val="Hypertextovodkaz"/>
            <w:noProof/>
            <w:color w:val="auto"/>
          </w:rPr>
          <w:t>5.2.2.2</w:t>
        </w:r>
        <w:r w:rsidR="005A1133" w:rsidRPr="004F61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Prognózní vývoj v oblasti hydraulické bariéry</w:t>
        </w:r>
        <w:r w:rsidR="005A1133" w:rsidRPr="004F6176">
          <w:rPr>
            <w:noProof/>
            <w:webHidden/>
          </w:rPr>
          <w:tab/>
        </w:r>
        <w:r w:rsidR="00B74EB6" w:rsidRPr="004F6176">
          <w:rPr>
            <w:noProof/>
            <w:webHidden/>
          </w:rPr>
          <w:fldChar w:fldCharType="begin"/>
        </w:r>
        <w:r w:rsidR="005A1133" w:rsidRPr="004F6176">
          <w:rPr>
            <w:noProof/>
            <w:webHidden/>
          </w:rPr>
          <w:instrText xml:space="preserve"> PAGEREF _Toc405386162 \h </w:instrText>
        </w:r>
        <w:r w:rsidR="00B74EB6" w:rsidRPr="004F6176">
          <w:rPr>
            <w:noProof/>
            <w:webHidden/>
          </w:rPr>
        </w:r>
        <w:r w:rsidR="00B74EB6" w:rsidRPr="004F6176">
          <w:rPr>
            <w:noProof/>
            <w:webHidden/>
          </w:rPr>
          <w:fldChar w:fldCharType="separate"/>
        </w:r>
        <w:r w:rsidR="00B7126C" w:rsidRPr="004F6176">
          <w:rPr>
            <w:noProof/>
            <w:webHidden/>
          </w:rPr>
          <w:t>12</w:t>
        </w:r>
        <w:r w:rsidR="00B74EB6" w:rsidRPr="004F6176">
          <w:rPr>
            <w:noProof/>
            <w:webHidden/>
          </w:rPr>
          <w:fldChar w:fldCharType="end"/>
        </w:r>
      </w:hyperlink>
    </w:p>
    <w:p w:rsidR="005A1133" w:rsidRPr="004F6176" w:rsidRDefault="007B5073">
      <w:pPr>
        <w:pStyle w:val="Obsah3"/>
        <w:tabs>
          <w:tab w:val="left" w:pos="1200"/>
          <w:tab w:val="right" w:leader="dot" w:pos="93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386163" w:history="1">
        <w:r w:rsidR="005A1133" w:rsidRPr="004F6176">
          <w:rPr>
            <w:rStyle w:val="Hypertextovodkaz"/>
            <w:noProof/>
            <w:color w:val="auto"/>
          </w:rPr>
          <w:t>5.2.3</w:t>
        </w:r>
        <w:r w:rsidR="005A1133" w:rsidRPr="004F61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Bilance PCE na lokalitě</w:t>
        </w:r>
        <w:r w:rsidR="005A1133" w:rsidRPr="004F6176">
          <w:rPr>
            <w:noProof/>
            <w:webHidden/>
          </w:rPr>
          <w:tab/>
        </w:r>
        <w:r w:rsidR="00B74EB6" w:rsidRPr="004F6176">
          <w:rPr>
            <w:noProof/>
            <w:webHidden/>
          </w:rPr>
          <w:fldChar w:fldCharType="begin"/>
        </w:r>
        <w:r w:rsidR="005A1133" w:rsidRPr="004F6176">
          <w:rPr>
            <w:noProof/>
            <w:webHidden/>
          </w:rPr>
          <w:instrText xml:space="preserve"> PAGEREF _Toc405386163 \h </w:instrText>
        </w:r>
        <w:r w:rsidR="00B74EB6" w:rsidRPr="004F6176">
          <w:rPr>
            <w:noProof/>
            <w:webHidden/>
          </w:rPr>
        </w:r>
        <w:r w:rsidR="00B74EB6" w:rsidRPr="004F6176">
          <w:rPr>
            <w:noProof/>
            <w:webHidden/>
          </w:rPr>
          <w:fldChar w:fldCharType="separate"/>
        </w:r>
        <w:r w:rsidR="00B7126C" w:rsidRPr="004F6176">
          <w:rPr>
            <w:noProof/>
            <w:webHidden/>
          </w:rPr>
          <w:t>13</w:t>
        </w:r>
        <w:r w:rsidR="00B74EB6" w:rsidRPr="004F6176">
          <w:rPr>
            <w:noProof/>
            <w:webHidden/>
          </w:rPr>
          <w:fldChar w:fldCharType="end"/>
        </w:r>
      </w:hyperlink>
    </w:p>
    <w:p w:rsidR="005A1133" w:rsidRPr="004F6176" w:rsidRDefault="007B5073">
      <w:pPr>
        <w:pStyle w:val="Obsah4"/>
        <w:tabs>
          <w:tab w:val="left" w:pos="1680"/>
          <w:tab w:val="right" w:leader="dot" w:pos="937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5386164" w:history="1">
        <w:r w:rsidR="005A1133" w:rsidRPr="004F6176">
          <w:rPr>
            <w:rStyle w:val="Hypertextovodkaz"/>
            <w:noProof/>
            <w:color w:val="auto"/>
          </w:rPr>
          <w:t>5.2.3.1</w:t>
        </w:r>
        <w:r w:rsidR="005A1133" w:rsidRPr="004F617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Aktuální a výhledová bilance hmoty PCE v saturované zóně</w:t>
        </w:r>
        <w:r w:rsidR="005A1133" w:rsidRPr="004F6176">
          <w:rPr>
            <w:noProof/>
            <w:webHidden/>
          </w:rPr>
          <w:tab/>
        </w:r>
        <w:r w:rsidR="00B74EB6" w:rsidRPr="004F6176">
          <w:rPr>
            <w:noProof/>
            <w:webHidden/>
          </w:rPr>
          <w:fldChar w:fldCharType="begin"/>
        </w:r>
        <w:r w:rsidR="005A1133" w:rsidRPr="004F6176">
          <w:rPr>
            <w:noProof/>
            <w:webHidden/>
          </w:rPr>
          <w:instrText xml:space="preserve"> PAGEREF _Toc405386164 \h </w:instrText>
        </w:r>
        <w:r w:rsidR="00B74EB6" w:rsidRPr="004F6176">
          <w:rPr>
            <w:noProof/>
            <w:webHidden/>
          </w:rPr>
        </w:r>
        <w:r w:rsidR="00B74EB6" w:rsidRPr="004F6176">
          <w:rPr>
            <w:noProof/>
            <w:webHidden/>
          </w:rPr>
          <w:fldChar w:fldCharType="separate"/>
        </w:r>
        <w:r w:rsidR="00B7126C" w:rsidRPr="004F6176">
          <w:rPr>
            <w:noProof/>
            <w:webHidden/>
          </w:rPr>
          <w:t>13</w:t>
        </w:r>
        <w:r w:rsidR="00B74EB6" w:rsidRPr="004F6176">
          <w:rPr>
            <w:noProof/>
            <w:webHidden/>
          </w:rPr>
          <w:fldChar w:fldCharType="end"/>
        </w:r>
      </w:hyperlink>
    </w:p>
    <w:p w:rsidR="005A1133" w:rsidRPr="004F6176" w:rsidRDefault="007B5073">
      <w:pPr>
        <w:pStyle w:val="Obsah1"/>
        <w:tabs>
          <w:tab w:val="left" w:pos="480"/>
          <w:tab w:val="right" w:leader="dot" w:pos="937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05386165" w:history="1">
        <w:r w:rsidR="005A1133" w:rsidRPr="004F6176">
          <w:rPr>
            <w:rStyle w:val="Hypertextovodkaz"/>
            <w:noProof/>
            <w:color w:val="auto"/>
          </w:rPr>
          <w:t>6</w:t>
        </w:r>
        <w:r w:rsidR="005A1133" w:rsidRPr="004F6176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Omezení a nejistoty modelového řešení</w:t>
        </w:r>
        <w:r w:rsidR="005A1133" w:rsidRPr="004F6176">
          <w:rPr>
            <w:noProof/>
            <w:webHidden/>
            <w:color w:val="auto"/>
          </w:rPr>
          <w:tab/>
        </w:r>
        <w:r w:rsidR="00B74EB6" w:rsidRPr="004F6176">
          <w:rPr>
            <w:noProof/>
            <w:webHidden/>
            <w:color w:val="auto"/>
          </w:rPr>
          <w:fldChar w:fldCharType="begin"/>
        </w:r>
        <w:r w:rsidR="005A1133" w:rsidRPr="004F6176">
          <w:rPr>
            <w:noProof/>
            <w:webHidden/>
            <w:color w:val="auto"/>
          </w:rPr>
          <w:instrText xml:space="preserve"> PAGEREF _Toc405386165 \h </w:instrText>
        </w:r>
        <w:r w:rsidR="00B74EB6" w:rsidRPr="004F6176">
          <w:rPr>
            <w:noProof/>
            <w:webHidden/>
            <w:color w:val="auto"/>
          </w:rPr>
        </w:r>
        <w:r w:rsidR="00B74EB6" w:rsidRPr="004F6176">
          <w:rPr>
            <w:noProof/>
            <w:webHidden/>
            <w:color w:val="auto"/>
          </w:rPr>
          <w:fldChar w:fldCharType="separate"/>
        </w:r>
        <w:r w:rsidR="00B7126C" w:rsidRPr="004F6176">
          <w:rPr>
            <w:noProof/>
            <w:webHidden/>
            <w:color w:val="auto"/>
          </w:rPr>
          <w:t>14</w:t>
        </w:r>
        <w:r w:rsidR="00B74EB6" w:rsidRPr="004F6176">
          <w:rPr>
            <w:noProof/>
            <w:webHidden/>
            <w:color w:val="auto"/>
          </w:rPr>
          <w:fldChar w:fldCharType="end"/>
        </w:r>
      </w:hyperlink>
    </w:p>
    <w:p w:rsidR="005A1133" w:rsidRPr="004F6176" w:rsidRDefault="007B5073">
      <w:pPr>
        <w:pStyle w:val="Obsah1"/>
        <w:tabs>
          <w:tab w:val="left" w:pos="480"/>
          <w:tab w:val="right" w:leader="dot" w:pos="9372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405386166" w:history="1">
        <w:r w:rsidR="005A1133" w:rsidRPr="004F6176">
          <w:rPr>
            <w:rStyle w:val="Hypertextovodkaz"/>
            <w:noProof/>
            <w:color w:val="auto"/>
          </w:rPr>
          <w:t>7</w:t>
        </w:r>
        <w:r w:rsidR="005A1133" w:rsidRPr="004F6176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5A1133" w:rsidRPr="004F6176">
          <w:rPr>
            <w:rStyle w:val="Hypertextovodkaz"/>
            <w:noProof/>
            <w:color w:val="auto"/>
          </w:rPr>
          <w:t>Závěry a doporučení</w:t>
        </w:r>
        <w:r w:rsidR="005A1133" w:rsidRPr="004F6176">
          <w:rPr>
            <w:noProof/>
            <w:webHidden/>
            <w:color w:val="auto"/>
          </w:rPr>
          <w:tab/>
        </w:r>
        <w:r w:rsidR="00B74EB6" w:rsidRPr="004F6176">
          <w:rPr>
            <w:noProof/>
            <w:webHidden/>
            <w:color w:val="auto"/>
          </w:rPr>
          <w:fldChar w:fldCharType="begin"/>
        </w:r>
        <w:r w:rsidR="005A1133" w:rsidRPr="004F6176">
          <w:rPr>
            <w:noProof/>
            <w:webHidden/>
            <w:color w:val="auto"/>
          </w:rPr>
          <w:instrText xml:space="preserve"> PAGEREF _Toc405386166 \h </w:instrText>
        </w:r>
        <w:r w:rsidR="00B74EB6" w:rsidRPr="004F6176">
          <w:rPr>
            <w:noProof/>
            <w:webHidden/>
            <w:color w:val="auto"/>
          </w:rPr>
        </w:r>
        <w:r w:rsidR="00B74EB6" w:rsidRPr="004F6176">
          <w:rPr>
            <w:noProof/>
            <w:webHidden/>
            <w:color w:val="auto"/>
          </w:rPr>
          <w:fldChar w:fldCharType="separate"/>
        </w:r>
        <w:r w:rsidR="00B7126C" w:rsidRPr="004F6176">
          <w:rPr>
            <w:noProof/>
            <w:webHidden/>
            <w:color w:val="auto"/>
          </w:rPr>
          <w:t>14</w:t>
        </w:r>
        <w:r w:rsidR="00B74EB6" w:rsidRPr="004F6176">
          <w:rPr>
            <w:noProof/>
            <w:webHidden/>
            <w:color w:val="auto"/>
          </w:rPr>
          <w:fldChar w:fldCharType="end"/>
        </w:r>
      </w:hyperlink>
    </w:p>
    <w:p w:rsidR="003D5550" w:rsidRPr="004F6176" w:rsidRDefault="00B74EB6" w:rsidP="00514353">
      <w:pPr>
        <w:pStyle w:val="odstavec"/>
        <w:spacing w:after="6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fldChar w:fldCharType="end"/>
      </w:r>
    </w:p>
    <w:p w:rsidR="00AA541A" w:rsidRPr="004F6176" w:rsidRDefault="00AA541A" w:rsidP="00514353">
      <w:pPr>
        <w:pStyle w:val="odstavec"/>
        <w:spacing w:after="60"/>
        <w:ind w:firstLine="0"/>
        <w:rPr>
          <w:b/>
          <w:sz w:val="22"/>
          <w:szCs w:val="22"/>
        </w:rPr>
      </w:pPr>
    </w:p>
    <w:p w:rsidR="00AA541A" w:rsidRPr="004F6176" w:rsidRDefault="00AA541A" w:rsidP="00514353">
      <w:pPr>
        <w:pStyle w:val="odstavec"/>
        <w:spacing w:after="60"/>
        <w:ind w:firstLine="0"/>
        <w:rPr>
          <w:b/>
          <w:sz w:val="22"/>
          <w:szCs w:val="22"/>
        </w:rPr>
      </w:pPr>
    </w:p>
    <w:p w:rsidR="00AA541A" w:rsidRPr="004F6176" w:rsidRDefault="00AA541A" w:rsidP="00514353">
      <w:pPr>
        <w:pStyle w:val="odstavec"/>
        <w:spacing w:after="60"/>
        <w:ind w:firstLine="0"/>
        <w:rPr>
          <w:b/>
          <w:sz w:val="22"/>
          <w:szCs w:val="22"/>
        </w:rPr>
      </w:pPr>
    </w:p>
    <w:p w:rsidR="00AA541A" w:rsidRPr="004F6176" w:rsidRDefault="00AA541A" w:rsidP="00514353">
      <w:pPr>
        <w:pStyle w:val="odstavec"/>
        <w:spacing w:after="60"/>
        <w:ind w:firstLine="0"/>
        <w:rPr>
          <w:b/>
          <w:sz w:val="22"/>
          <w:szCs w:val="22"/>
        </w:rPr>
      </w:pPr>
    </w:p>
    <w:p w:rsidR="00AA541A" w:rsidRPr="004F6176" w:rsidRDefault="00AA541A" w:rsidP="00514353">
      <w:pPr>
        <w:pStyle w:val="odstavec"/>
        <w:spacing w:after="60"/>
        <w:ind w:firstLine="0"/>
        <w:rPr>
          <w:b/>
          <w:sz w:val="22"/>
          <w:szCs w:val="22"/>
        </w:rPr>
      </w:pPr>
    </w:p>
    <w:p w:rsidR="00AA541A" w:rsidRPr="004F6176" w:rsidRDefault="00AA541A" w:rsidP="00514353">
      <w:pPr>
        <w:pStyle w:val="odstavec"/>
        <w:spacing w:after="60"/>
        <w:ind w:firstLine="0"/>
        <w:rPr>
          <w:b/>
          <w:sz w:val="22"/>
          <w:szCs w:val="22"/>
        </w:rPr>
      </w:pPr>
    </w:p>
    <w:p w:rsidR="00AA541A" w:rsidRPr="004F6176" w:rsidRDefault="00AA541A" w:rsidP="00514353">
      <w:pPr>
        <w:pStyle w:val="odstavec"/>
        <w:spacing w:after="60"/>
        <w:ind w:firstLine="0"/>
        <w:rPr>
          <w:b/>
          <w:sz w:val="22"/>
          <w:szCs w:val="22"/>
        </w:rPr>
      </w:pPr>
    </w:p>
    <w:p w:rsidR="00AA541A" w:rsidRPr="004F6176" w:rsidRDefault="00AA541A" w:rsidP="00514353">
      <w:pPr>
        <w:pStyle w:val="odstavec"/>
        <w:spacing w:after="60"/>
        <w:ind w:firstLine="0"/>
        <w:rPr>
          <w:b/>
          <w:sz w:val="22"/>
          <w:szCs w:val="22"/>
        </w:rPr>
      </w:pPr>
    </w:p>
    <w:p w:rsidR="00AA541A" w:rsidRPr="004F6176" w:rsidRDefault="00AA541A" w:rsidP="00514353">
      <w:pPr>
        <w:pStyle w:val="odstavec"/>
        <w:spacing w:after="60"/>
        <w:ind w:firstLine="0"/>
        <w:rPr>
          <w:b/>
          <w:sz w:val="22"/>
          <w:szCs w:val="22"/>
        </w:rPr>
      </w:pPr>
    </w:p>
    <w:p w:rsidR="00AA541A" w:rsidRPr="004F6176" w:rsidRDefault="00AA541A" w:rsidP="00514353">
      <w:pPr>
        <w:pStyle w:val="odstavec"/>
        <w:spacing w:after="60"/>
        <w:ind w:firstLine="0"/>
        <w:rPr>
          <w:b/>
          <w:sz w:val="22"/>
          <w:szCs w:val="22"/>
        </w:rPr>
      </w:pPr>
    </w:p>
    <w:p w:rsidR="00AA541A" w:rsidRPr="004F6176" w:rsidRDefault="00AA541A" w:rsidP="00514353">
      <w:pPr>
        <w:pStyle w:val="odstavec"/>
        <w:spacing w:after="60"/>
        <w:ind w:firstLine="0"/>
        <w:rPr>
          <w:b/>
          <w:sz w:val="22"/>
          <w:szCs w:val="22"/>
        </w:rPr>
      </w:pPr>
    </w:p>
    <w:p w:rsidR="00AA541A" w:rsidRPr="004F6176" w:rsidRDefault="00AA541A" w:rsidP="00514353">
      <w:pPr>
        <w:pStyle w:val="odstavec"/>
        <w:spacing w:after="60"/>
        <w:ind w:firstLine="0"/>
        <w:rPr>
          <w:b/>
          <w:sz w:val="22"/>
          <w:szCs w:val="22"/>
        </w:rPr>
      </w:pPr>
    </w:p>
    <w:p w:rsidR="00AA541A" w:rsidRPr="004F6176" w:rsidRDefault="00AA541A" w:rsidP="00514353">
      <w:pPr>
        <w:pStyle w:val="odstavec"/>
        <w:spacing w:after="60"/>
        <w:ind w:firstLine="0"/>
        <w:rPr>
          <w:b/>
          <w:sz w:val="22"/>
          <w:szCs w:val="22"/>
        </w:rPr>
      </w:pPr>
    </w:p>
    <w:p w:rsidR="00AA541A" w:rsidRPr="004F6176" w:rsidRDefault="00AA541A" w:rsidP="00514353">
      <w:pPr>
        <w:pStyle w:val="odstavec"/>
        <w:spacing w:after="60"/>
        <w:ind w:firstLine="0"/>
        <w:rPr>
          <w:b/>
          <w:sz w:val="22"/>
          <w:szCs w:val="22"/>
        </w:rPr>
      </w:pPr>
    </w:p>
    <w:p w:rsidR="00620DD8" w:rsidRPr="004F6176" w:rsidRDefault="004337A9" w:rsidP="00514353">
      <w:pPr>
        <w:pStyle w:val="odstavec"/>
        <w:spacing w:after="60"/>
        <w:ind w:firstLine="0"/>
        <w:rPr>
          <w:b/>
          <w:sz w:val="22"/>
          <w:szCs w:val="22"/>
        </w:rPr>
      </w:pPr>
      <w:r w:rsidRPr="004F6176">
        <w:rPr>
          <w:b/>
          <w:sz w:val="22"/>
          <w:szCs w:val="22"/>
        </w:rPr>
        <w:lastRenderedPageBreak/>
        <w:t>Přílohy</w:t>
      </w:r>
    </w:p>
    <w:p w:rsidR="00947C69" w:rsidRPr="004F6176" w:rsidRDefault="00620DD8" w:rsidP="00620DD8">
      <w:pPr>
        <w:pStyle w:val="odstavec"/>
        <w:spacing w:before="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t xml:space="preserve">Příloha </w:t>
      </w:r>
      <w:r w:rsidR="000935CD" w:rsidRPr="004F6176">
        <w:rPr>
          <w:sz w:val="22"/>
          <w:szCs w:val="22"/>
        </w:rPr>
        <w:t xml:space="preserve">č. </w:t>
      </w:r>
      <w:r w:rsidRPr="004F6176">
        <w:rPr>
          <w:sz w:val="22"/>
          <w:szCs w:val="22"/>
        </w:rPr>
        <w:t>1</w:t>
      </w:r>
      <w:r w:rsidR="002049B5" w:rsidRPr="004F6176">
        <w:rPr>
          <w:sz w:val="22"/>
          <w:szCs w:val="22"/>
        </w:rPr>
        <w:tab/>
      </w:r>
      <w:r w:rsidR="00947C69" w:rsidRPr="004F6176">
        <w:rPr>
          <w:sz w:val="22"/>
          <w:szCs w:val="22"/>
        </w:rPr>
        <w:t>Situace zájmové oblasti</w:t>
      </w:r>
    </w:p>
    <w:p w:rsidR="00620DD8" w:rsidRPr="004F6176" w:rsidRDefault="00947C69" w:rsidP="00620DD8">
      <w:pPr>
        <w:pStyle w:val="odstavec"/>
        <w:spacing w:before="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t>Příloha č. 2</w:t>
      </w:r>
      <w:r w:rsidRPr="004F6176">
        <w:rPr>
          <w:sz w:val="22"/>
          <w:szCs w:val="22"/>
        </w:rPr>
        <w:tab/>
      </w:r>
      <w:r w:rsidR="002049B5" w:rsidRPr="004F6176">
        <w:rPr>
          <w:sz w:val="22"/>
          <w:szCs w:val="22"/>
        </w:rPr>
        <w:t>Rozsah modelové oblasti</w:t>
      </w:r>
    </w:p>
    <w:p w:rsidR="006272ED" w:rsidRPr="004F6176" w:rsidRDefault="00620DD8" w:rsidP="00620DD8">
      <w:pPr>
        <w:pStyle w:val="odstavec"/>
        <w:spacing w:before="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t xml:space="preserve">Příloha </w:t>
      </w:r>
      <w:r w:rsidR="000935CD" w:rsidRPr="004F6176">
        <w:rPr>
          <w:sz w:val="22"/>
          <w:szCs w:val="22"/>
        </w:rPr>
        <w:t>č.</w:t>
      </w:r>
      <w:r w:rsidR="009F11DB" w:rsidRPr="004F6176">
        <w:rPr>
          <w:sz w:val="22"/>
          <w:szCs w:val="22"/>
        </w:rPr>
        <w:t xml:space="preserve"> </w:t>
      </w:r>
      <w:r w:rsidR="00FF4241" w:rsidRPr="004F6176">
        <w:rPr>
          <w:sz w:val="22"/>
          <w:szCs w:val="22"/>
        </w:rPr>
        <w:t>3</w:t>
      </w:r>
      <w:r w:rsidR="002049B5" w:rsidRPr="004F6176">
        <w:rPr>
          <w:sz w:val="22"/>
          <w:szCs w:val="22"/>
        </w:rPr>
        <w:tab/>
      </w:r>
      <w:r w:rsidR="006272ED" w:rsidRPr="004F6176">
        <w:rPr>
          <w:sz w:val="22"/>
          <w:szCs w:val="22"/>
        </w:rPr>
        <w:t>Situace zájmových hydrogeologických a hydrologických objektů</w:t>
      </w:r>
    </w:p>
    <w:p w:rsidR="00620DD8" w:rsidRPr="004F6176" w:rsidRDefault="00620DD8" w:rsidP="00620DD8">
      <w:pPr>
        <w:pStyle w:val="odstavec"/>
        <w:spacing w:before="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t xml:space="preserve">Příloha </w:t>
      </w:r>
      <w:r w:rsidR="009F11DB" w:rsidRPr="004F6176">
        <w:rPr>
          <w:sz w:val="22"/>
          <w:szCs w:val="22"/>
        </w:rPr>
        <w:t xml:space="preserve">č. </w:t>
      </w:r>
      <w:r w:rsidR="00215108" w:rsidRPr="004F6176">
        <w:rPr>
          <w:sz w:val="22"/>
          <w:szCs w:val="22"/>
        </w:rPr>
        <w:t>4</w:t>
      </w:r>
      <w:r w:rsidR="002049B5" w:rsidRPr="004F6176">
        <w:rPr>
          <w:sz w:val="22"/>
          <w:szCs w:val="22"/>
        </w:rPr>
        <w:tab/>
      </w:r>
      <w:r w:rsidR="006272ED" w:rsidRPr="004F6176">
        <w:rPr>
          <w:sz w:val="22"/>
          <w:szCs w:val="22"/>
        </w:rPr>
        <w:t>Modelovací síť a okrajové podmínky matematického modelu</w:t>
      </w:r>
      <w:r w:rsidR="002049B5" w:rsidRPr="004F6176">
        <w:rPr>
          <w:sz w:val="22"/>
          <w:szCs w:val="22"/>
        </w:rPr>
        <w:tab/>
      </w:r>
    </w:p>
    <w:p w:rsidR="00620DD8" w:rsidRPr="004F6176" w:rsidRDefault="00620DD8" w:rsidP="00620DD8">
      <w:pPr>
        <w:pStyle w:val="odstavec"/>
        <w:spacing w:before="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t xml:space="preserve">Příloha </w:t>
      </w:r>
      <w:r w:rsidR="009F11DB" w:rsidRPr="004F6176">
        <w:rPr>
          <w:sz w:val="22"/>
          <w:szCs w:val="22"/>
        </w:rPr>
        <w:t xml:space="preserve">č. </w:t>
      </w:r>
      <w:r w:rsidR="00D5711C" w:rsidRPr="004F6176">
        <w:rPr>
          <w:sz w:val="22"/>
          <w:szCs w:val="22"/>
        </w:rPr>
        <w:t>5</w:t>
      </w:r>
      <w:r w:rsidR="002049B5" w:rsidRPr="004F6176">
        <w:rPr>
          <w:sz w:val="22"/>
          <w:szCs w:val="22"/>
        </w:rPr>
        <w:tab/>
      </w:r>
      <w:r w:rsidR="006272ED" w:rsidRPr="004F6176">
        <w:rPr>
          <w:sz w:val="22"/>
          <w:szCs w:val="22"/>
        </w:rPr>
        <w:t>Model terénu modelového území</w:t>
      </w:r>
    </w:p>
    <w:p w:rsidR="00620DD8" w:rsidRPr="004F6176" w:rsidRDefault="00620DD8" w:rsidP="006822A3">
      <w:pPr>
        <w:pStyle w:val="odstavec"/>
        <w:spacing w:before="0"/>
        <w:ind w:left="1410" w:hanging="1410"/>
        <w:rPr>
          <w:sz w:val="22"/>
          <w:szCs w:val="22"/>
        </w:rPr>
      </w:pPr>
      <w:r w:rsidRPr="004F6176">
        <w:rPr>
          <w:sz w:val="22"/>
          <w:szCs w:val="22"/>
        </w:rPr>
        <w:t xml:space="preserve">Příloha </w:t>
      </w:r>
      <w:r w:rsidR="009F11DB" w:rsidRPr="004F6176">
        <w:rPr>
          <w:sz w:val="22"/>
          <w:szCs w:val="22"/>
        </w:rPr>
        <w:t xml:space="preserve">č. </w:t>
      </w:r>
      <w:r w:rsidR="00365C27" w:rsidRPr="004F6176">
        <w:rPr>
          <w:sz w:val="22"/>
          <w:szCs w:val="22"/>
        </w:rPr>
        <w:t>6</w:t>
      </w:r>
      <w:r w:rsidR="00736F9A" w:rsidRPr="004F6176">
        <w:rPr>
          <w:sz w:val="22"/>
          <w:szCs w:val="22"/>
        </w:rPr>
        <w:t>.1</w:t>
      </w:r>
      <w:r w:rsidR="002049B5" w:rsidRPr="004F6176">
        <w:rPr>
          <w:sz w:val="22"/>
          <w:szCs w:val="22"/>
        </w:rPr>
        <w:tab/>
      </w:r>
      <w:r w:rsidR="006272ED" w:rsidRPr="004F6176">
        <w:rPr>
          <w:sz w:val="22"/>
          <w:szCs w:val="22"/>
        </w:rPr>
        <w:t xml:space="preserve">Modelové hladiny podzemní vody - </w:t>
      </w:r>
      <w:r w:rsidR="006822A3" w:rsidRPr="004F6176">
        <w:rPr>
          <w:sz w:val="22"/>
          <w:szCs w:val="22"/>
        </w:rPr>
        <w:t>ne</w:t>
      </w:r>
      <w:r w:rsidR="006272ED" w:rsidRPr="004F6176">
        <w:rPr>
          <w:sz w:val="22"/>
          <w:szCs w:val="22"/>
        </w:rPr>
        <w:t xml:space="preserve">stacionární simulace při ovlivněném stavu na úrovni </w:t>
      </w:r>
      <w:r w:rsidR="00891693" w:rsidRPr="004F6176">
        <w:rPr>
          <w:sz w:val="22"/>
          <w:szCs w:val="22"/>
        </w:rPr>
        <w:t>II. čtvrtletí</w:t>
      </w:r>
      <w:r w:rsidR="007B3E1F" w:rsidRPr="004F6176">
        <w:rPr>
          <w:sz w:val="22"/>
          <w:szCs w:val="22"/>
        </w:rPr>
        <w:t xml:space="preserve"> (duben – červen)</w:t>
      </w:r>
      <w:r w:rsidR="00891693" w:rsidRPr="004F6176">
        <w:rPr>
          <w:sz w:val="22"/>
          <w:szCs w:val="22"/>
        </w:rPr>
        <w:t xml:space="preserve"> 2016</w:t>
      </w:r>
    </w:p>
    <w:p w:rsidR="0089700E" w:rsidRPr="004F6176" w:rsidRDefault="0089700E" w:rsidP="00AA541A">
      <w:pPr>
        <w:pStyle w:val="odstavec"/>
        <w:spacing w:before="0"/>
        <w:ind w:left="1410" w:hanging="1410"/>
        <w:rPr>
          <w:sz w:val="22"/>
          <w:szCs w:val="22"/>
        </w:rPr>
      </w:pPr>
      <w:r w:rsidRPr="004F6176">
        <w:rPr>
          <w:sz w:val="22"/>
          <w:szCs w:val="22"/>
        </w:rPr>
        <w:t>Příloha č. 6.2</w:t>
      </w:r>
      <w:r w:rsidRPr="004F6176">
        <w:rPr>
          <w:sz w:val="22"/>
          <w:szCs w:val="22"/>
        </w:rPr>
        <w:tab/>
        <w:t xml:space="preserve">Modelové hladiny podzemní vody - </w:t>
      </w:r>
      <w:r w:rsidR="006822A3" w:rsidRPr="004F6176">
        <w:rPr>
          <w:sz w:val="22"/>
          <w:szCs w:val="22"/>
        </w:rPr>
        <w:t>ne</w:t>
      </w:r>
      <w:r w:rsidRPr="004F6176">
        <w:rPr>
          <w:sz w:val="22"/>
          <w:szCs w:val="22"/>
        </w:rPr>
        <w:t xml:space="preserve">stacionární simulace při ovlivněném stavu na </w:t>
      </w:r>
      <w:r w:rsidR="00891693" w:rsidRPr="004F6176">
        <w:rPr>
          <w:sz w:val="22"/>
          <w:szCs w:val="22"/>
        </w:rPr>
        <w:t>úrovni května</w:t>
      </w:r>
      <w:r w:rsidR="00975218" w:rsidRPr="004F6176">
        <w:rPr>
          <w:sz w:val="22"/>
          <w:szCs w:val="22"/>
        </w:rPr>
        <w:t xml:space="preserve"> 2015</w:t>
      </w:r>
      <w:r w:rsidRPr="004F6176">
        <w:rPr>
          <w:sz w:val="22"/>
          <w:szCs w:val="22"/>
        </w:rPr>
        <w:t xml:space="preserve"> – oblast nového závodu</w:t>
      </w:r>
    </w:p>
    <w:p w:rsidR="0091771B" w:rsidRPr="004F6176" w:rsidRDefault="00620DD8" w:rsidP="00620DD8">
      <w:pPr>
        <w:pStyle w:val="odstavec"/>
        <w:spacing w:before="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t xml:space="preserve">Příloha </w:t>
      </w:r>
      <w:r w:rsidR="009F11DB" w:rsidRPr="004F6176">
        <w:rPr>
          <w:sz w:val="22"/>
          <w:szCs w:val="22"/>
        </w:rPr>
        <w:t xml:space="preserve">č. </w:t>
      </w:r>
      <w:r w:rsidR="00E74FBE" w:rsidRPr="004F6176">
        <w:rPr>
          <w:sz w:val="22"/>
          <w:szCs w:val="22"/>
        </w:rPr>
        <w:t>7</w:t>
      </w:r>
      <w:r w:rsidR="000D7498" w:rsidRPr="004F6176">
        <w:rPr>
          <w:sz w:val="22"/>
          <w:szCs w:val="22"/>
        </w:rPr>
        <w:t>.1</w:t>
      </w:r>
      <w:r w:rsidR="00530459" w:rsidRPr="004F6176">
        <w:rPr>
          <w:sz w:val="22"/>
          <w:szCs w:val="22"/>
        </w:rPr>
        <w:tab/>
      </w:r>
      <w:r w:rsidR="00454F4E" w:rsidRPr="004F6176">
        <w:rPr>
          <w:sz w:val="22"/>
          <w:szCs w:val="22"/>
        </w:rPr>
        <w:t xml:space="preserve">Modelový rozsah </w:t>
      </w:r>
      <w:r w:rsidR="003605CF" w:rsidRPr="004F6176">
        <w:rPr>
          <w:sz w:val="22"/>
          <w:szCs w:val="22"/>
        </w:rPr>
        <w:t xml:space="preserve">kontaminace PCE – </w:t>
      </w:r>
      <w:r w:rsidR="007B3E1F" w:rsidRPr="004F6176">
        <w:rPr>
          <w:sz w:val="22"/>
          <w:szCs w:val="22"/>
        </w:rPr>
        <w:t xml:space="preserve"> rok 2016</w:t>
      </w:r>
    </w:p>
    <w:p w:rsidR="00454F4E" w:rsidRPr="004F6176" w:rsidRDefault="009419EB" w:rsidP="003605CF">
      <w:pPr>
        <w:pStyle w:val="odstavec"/>
        <w:spacing w:before="0"/>
        <w:ind w:left="1410" w:hanging="1410"/>
        <w:rPr>
          <w:sz w:val="22"/>
          <w:szCs w:val="22"/>
        </w:rPr>
      </w:pPr>
      <w:r w:rsidRPr="004F6176">
        <w:rPr>
          <w:sz w:val="22"/>
          <w:szCs w:val="22"/>
        </w:rPr>
        <w:t>Příloha č. 7.</w:t>
      </w:r>
      <w:r w:rsidR="003605CF" w:rsidRPr="004F6176">
        <w:rPr>
          <w:sz w:val="22"/>
          <w:szCs w:val="22"/>
        </w:rPr>
        <w:t>2</w:t>
      </w:r>
      <w:r w:rsidRPr="004F6176">
        <w:rPr>
          <w:sz w:val="22"/>
          <w:szCs w:val="22"/>
        </w:rPr>
        <w:tab/>
        <w:t xml:space="preserve">Prognózní simulace rozsahu </w:t>
      </w:r>
      <w:r w:rsidR="000D7498" w:rsidRPr="004F6176">
        <w:rPr>
          <w:sz w:val="22"/>
          <w:szCs w:val="22"/>
        </w:rPr>
        <w:t>kontaminace</w:t>
      </w:r>
      <w:r w:rsidRPr="004F6176">
        <w:rPr>
          <w:sz w:val="22"/>
          <w:szCs w:val="22"/>
        </w:rPr>
        <w:t xml:space="preserve"> </w:t>
      </w:r>
      <w:r w:rsidR="003605CF" w:rsidRPr="004F6176">
        <w:rPr>
          <w:sz w:val="22"/>
          <w:szCs w:val="22"/>
        </w:rPr>
        <w:t xml:space="preserve">PCE </w:t>
      </w:r>
      <w:r w:rsidR="00875A5D" w:rsidRPr="004F6176">
        <w:rPr>
          <w:sz w:val="22"/>
          <w:szCs w:val="22"/>
        </w:rPr>
        <w:t xml:space="preserve">po odstranění </w:t>
      </w:r>
      <w:r w:rsidR="00855AE9" w:rsidRPr="004F6176">
        <w:rPr>
          <w:sz w:val="22"/>
          <w:szCs w:val="22"/>
        </w:rPr>
        <w:t>zdrojů kontaminace a po</w:t>
      </w:r>
      <w:r w:rsidR="007B3E1F" w:rsidRPr="004F6176">
        <w:rPr>
          <w:sz w:val="22"/>
          <w:szCs w:val="22"/>
        </w:rPr>
        <w:t xml:space="preserve"> odstave</w:t>
      </w:r>
      <w:r w:rsidR="00875A5D" w:rsidRPr="004F6176">
        <w:rPr>
          <w:sz w:val="22"/>
          <w:szCs w:val="22"/>
        </w:rPr>
        <w:t>ní hydraulické bariéry</w:t>
      </w:r>
      <w:r w:rsidR="003605CF" w:rsidRPr="004F6176">
        <w:rPr>
          <w:sz w:val="22"/>
          <w:szCs w:val="22"/>
        </w:rPr>
        <w:t xml:space="preserve"> – rok </w:t>
      </w:r>
      <w:r w:rsidR="007B3E1F" w:rsidRPr="004F6176">
        <w:rPr>
          <w:sz w:val="22"/>
          <w:szCs w:val="22"/>
        </w:rPr>
        <w:t>2017</w:t>
      </w:r>
    </w:p>
    <w:p w:rsidR="003605CF" w:rsidRPr="004F6176" w:rsidRDefault="003605CF" w:rsidP="003605CF">
      <w:pPr>
        <w:pStyle w:val="odstavec"/>
        <w:spacing w:before="0"/>
        <w:ind w:left="1410" w:hanging="1410"/>
        <w:rPr>
          <w:sz w:val="22"/>
          <w:szCs w:val="22"/>
        </w:rPr>
      </w:pPr>
      <w:r w:rsidRPr="004F6176">
        <w:rPr>
          <w:sz w:val="22"/>
          <w:szCs w:val="22"/>
        </w:rPr>
        <w:t>Příloha č. 7.3</w:t>
      </w:r>
      <w:r w:rsidRPr="004F6176">
        <w:rPr>
          <w:sz w:val="22"/>
          <w:szCs w:val="22"/>
        </w:rPr>
        <w:tab/>
        <w:t xml:space="preserve">Prognózní simulace rozsahu kontaminace PCE </w:t>
      </w:r>
      <w:r w:rsidR="00875A5D" w:rsidRPr="004F6176">
        <w:rPr>
          <w:sz w:val="22"/>
          <w:szCs w:val="22"/>
        </w:rPr>
        <w:t>po ods</w:t>
      </w:r>
      <w:r w:rsidR="00855AE9" w:rsidRPr="004F6176">
        <w:rPr>
          <w:sz w:val="22"/>
          <w:szCs w:val="22"/>
        </w:rPr>
        <w:t>tranění zdrojů kontaminace a po</w:t>
      </w:r>
      <w:r w:rsidR="00875A5D" w:rsidRPr="004F6176">
        <w:rPr>
          <w:sz w:val="22"/>
          <w:szCs w:val="22"/>
        </w:rPr>
        <w:t xml:space="preserve"> </w:t>
      </w:r>
      <w:r w:rsidR="007B3E1F" w:rsidRPr="004F6176">
        <w:rPr>
          <w:sz w:val="22"/>
          <w:szCs w:val="22"/>
        </w:rPr>
        <w:t>odstavení</w:t>
      </w:r>
      <w:r w:rsidR="00875A5D" w:rsidRPr="004F6176">
        <w:rPr>
          <w:sz w:val="22"/>
          <w:szCs w:val="22"/>
        </w:rPr>
        <w:t xml:space="preserve"> hydraulické bariéry</w:t>
      </w:r>
      <w:r w:rsidRPr="004F6176">
        <w:rPr>
          <w:sz w:val="22"/>
          <w:szCs w:val="22"/>
        </w:rPr>
        <w:t xml:space="preserve"> – rok </w:t>
      </w:r>
      <w:r w:rsidR="007A346D" w:rsidRPr="004F6176">
        <w:rPr>
          <w:sz w:val="22"/>
          <w:szCs w:val="22"/>
        </w:rPr>
        <w:t>2020</w:t>
      </w:r>
    </w:p>
    <w:p w:rsidR="003605CF" w:rsidRPr="004F6176" w:rsidRDefault="003605CF" w:rsidP="003605CF">
      <w:pPr>
        <w:pStyle w:val="odstavec"/>
        <w:spacing w:before="0"/>
        <w:ind w:left="1410" w:hanging="1410"/>
        <w:rPr>
          <w:sz w:val="22"/>
          <w:szCs w:val="22"/>
        </w:rPr>
      </w:pPr>
      <w:r w:rsidRPr="004F6176">
        <w:rPr>
          <w:sz w:val="22"/>
          <w:szCs w:val="22"/>
        </w:rPr>
        <w:t>Příloha č. 7.4</w:t>
      </w:r>
      <w:r w:rsidRPr="004F6176">
        <w:rPr>
          <w:sz w:val="22"/>
          <w:szCs w:val="22"/>
        </w:rPr>
        <w:tab/>
        <w:t xml:space="preserve">Prognózní simulace rozsahu kontaminace PCE </w:t>
      </w:r>
      <w:r w:rsidR="00875A5D" w:rsidRPr="004F6176">
        <w:rPr>
          <w:sz w:val="22"/>
          <w:szCs w:val="22"/>
        </w:rPr>
        <w:t>po odstranění zd</w:t>
      </w:r>
      <w:r w:rsidR="00855AE9" w:rsidRPr="004F6176">
        <w:rPr>
          <w:sz w:val="22"/>
          <w:szCs w:val="22"/>
        </w:rPr>
        <w:t>rojů kontaminace a po</w:t>
      </w:r>
      <w:r w:rsidR="007B3E1F" w:rsidRPr="004F6176">
        <w:rPr>
          <w:sz w:val="22"/>
          <w:szCs w:val="22"/>
        </w:rPr>
        <w:t xml:space="preserve"> odstavení</w:t>
      </w:r>
      <w:r w:rsidR="00875A5D" w:rsidRPr="004F6176">
        <w:rPr>
          <w:sz w:val="22"/>
          <w:szCs w:val="22"/>
        </w:rPr>
        <w:t xml:space="preserve"> hydraulické bariéry</w:t>
      </w:r>
      <w:r w:rsidRPr="004F6176">
        <w:rPr>
          <w:sz w:val="22"/>
          <w:szCs w:val="22"/>
        </w:rPr>
        <w:t xml:space="preserve"> – rok </w:t>
      </w:r>
      <w:r w:rsidR="006822A3" w:rsidRPr="004F6176">
        <w:rPr>
          <w:sz w:val="22"/>
          <w:szCs w:val="22"/>
        </w:rPr>
        <w:t>202</w:t>
      </w:r>
      <w:r w:rsidR="007B3E1F" w:rsidRPr="004F6176">
        <w:rPr>
          <w:sz w:val="22"/>
          <w:szCs w:val="22"/>
        </w:rPr>
        <w:t>6</w:t>
      </w:r>
    </w:p>
    <w:p w:rsidR="00A44074" w:rsidRPr="004F6176" w:rsidRDefault="00A44074" w:rsidP="00A44074">
      <w:pPr>
        <w:pStyle w:val="odstavec"/>
        <w:spacing w:before="0"/>
        <w:ind w:left="1410" w:hanging="1410"/>
        <w:rPr>
          <w:sz w:val="22"/>
          <w:szCs w:val="22"/>
        </w:rPr>
      </w:pPr>
      <w:r w:rsidRPr="004F6176">
        <w:rPr>
          <w:sz w:val="22"/>
          <w:szCs w:val="22"/>
        </w:rPr>
        <w:t>Příloha č. 7.5</w:t>
      </w:r>
      <w:r w:rsidRPr="004F6176">
        <w:rPr>
          <w:sz w:val="22"/>
          <w:szCs w:val="22"/>
        </w:rPr>
        <w:tab/>
        <w:t xml:space="preserve">Modelový rozsah kontaminace PCE v oblasti nového závodu – </w:t>
      </w:r>
      <w:r w:rsidR="00992FA6" w:rsidRPr="004F6176">
        <w:rPr>
          <w:sz w:val="22"/>
          <w:szCs w:val="22"/>
        </w:rPr>
        <w:t xml:space="preserve">rok </w:t>
      </w:r>
      <w:r w:rsidR="007B3E1F" w:rsidRPr="004F6176">
        <w:rPr>
          <w:sz w:val="22"/>
          <w:szCs w:val="22"/>
        </w:rPr>
        <w:t>2016</w:t>
      </w:r>
    </w:p>
    <w:p w:rsidR="00ED4BCF" w:rsidRPr="004F6176" w:rsidRDefault="00ED4BCF" w:rsidP="00A44074">
      <w:pPr>
        <w:pStyle w:val="odstavec"/>
        <w:spacing w:before="0"/>
        <w:ind w:left="1410" w:hanging="1410"/>
        <w:rPr>
          <w:sz w:val="22"/>
          <w:szCs w:val="22"/>
        </w:rPr>
      </w:pPr>
      <w:r w:rsidRPr="004F6176">
        <w:rPr>
          <w:sz w:val="22"/>
          <w:szCs w:val="22"/>
        </w:rPr>
        <w:t>Příloha č. 7.6</w:t>
      </w:r>
      <w:r w:rsidRPr="004F6176">
        <w:rPr>
          <w:sz w:val="22"/>
          <w:szCs w:val="22"/>
        </w:rPr>
        <w:tab/>
        <w:t>Modelový rozsah kontaminace PCE v oblasti n</w:t>
      </w:r>
      <w:r w:rsidR="001B50DE" w:rsidRPr="004F6176">
        <w:rPr>
          <w:sz w:val="22"/>
          <w:szCs w:val="22"/>
        </w:rPr>
        <w:t>ového závodu – simulace rok 201</w:t>
      </w:r>
      <w:r w:rsidR="007B3E1F" w:rsidRPr="004F6176">
        <w:rPr>
          <w:sz w:val="22"/>
          <w:szCs w:val="22"/>
        </w:rPr>
        <w:t>7</w:t>
      </w:r>
    </w:p>
    <w:p w:rsidR="00ED4BCF" w:rsidRPr="004F6176" w:rsidRDefault="00ED4BCF" w:rsidP="00ED4BCF">
      <w:pPr>
        <w:pStyle w:val="odstavec"/>
        <w:spacing w:before="0"/>
        <w:ind w:left="1410" w:hanging="1410"/>
        <w:rPr>
          <w:sz w:val="22"/>
          <w:szCs w:val="22"/>
        </w:rPr>
      </w:pPr>
      <w:r w:rsidRPr="004F6176">
        <w:rPr>
          <w:sz w:val="22"/>
          <w:szCs w:val="22"/>
        </w:rPr>
        <w:t>Příloha č. 7.7</w:t>
      </w:r>
      <w:r w:rsidRPr="004F6176">
        <w:rPr>
          <w:sz w:val="22"/>
          <w:szCs w:val="22"/>
        </w:rPr>
        <w:tab/>
        <w:t>Modelový rozsah kontaminace PCE v oblasti n</w:t>
      </w:r>
      <w:r w:rsidR="001B50DE" w:rsidRPr="004F6176">
        <w:rPr>
          <w:sz w:val="22"/>
          <w:szCs w:val="22"/>
        </w:rPr>
        <w:t>ového závodu – simulace rok 202</w:t>
      </w:r>
      <w:r w:rsidR="007A346D" w:rsidRPr="004F6176">
        <w:rPr>
          <w:sz w:val="22"/>
          <w:szCs w:val="22"/>
        </w:rPr>
        <w:t>0</w:t>
      </w:r>
    </w:p>
    <w:p w:rsidR="00ED4BCF" w:rsidRPr="004F6176" w:rsidRDefault="00ED4BCF" w:rsidP="00ED4BCF">
      <w:pPr>
        <w:pStyle w:val="odstavec"/>
        <w:spacing w:before="0"/>
        <w:ind w:left="1410" w:hanging="1410"/>
        <w:rPr>
          <w:sz w:val="22"/>
          <w:szCs w:val="22"/>
        </w:rPr>
      </w:pPr>
      <w:r w:rsidRPr="004F6176">
        <w:rPr>
          <w:sz w:val="22"/>
          <w:szCs w:val="22"/>
        </w:rPr>
        <w:t>Příloha č. 7.8</w:t>
      </w:r>
      <w:r w:rsidRPr="004F6176">
        <w:rPr>
          <w:sz w:val="22"/>
          <w:szCs w:val="22"/>
        </w:rPr>
        <w:tab/>
        <w:t>Modelový rozsah kontaminace PCE v oblasti n</w:t>
      </w:r>
      <w:r w:rsidR="001B50DE" w:rsidRPr="004F6176">
        <w:rPr>
          <w:sz w:val="22"/>
          <w:szCs w:val="22"/>
        </w:rPr>
        <w:t>ového závodu – simulace rok 202</w:t>
      </w:r>
      <w:r w:rsidR="007B3E1F" w:rsidRPr="004F6176">
        <w:rPr>
          <w:sz w:val="22"/>
          <w:szCs w:val="22"/>
        </w:rPr>
        <w:t>6</w:t>
      </w:r>
    </w:p>
    <w:p w:rsidR="009419EB" w:rsidRPr="004F6176" w:rsidRDefault="00EB7AD6" w:rsidP="00620DD8">
      <w:pPr>
        <w:pStyle w:val="odstavec"/>
        <w:spacing w:before="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t>Příloha č. 8.1</w:t>
      </w:r>
      <w:r w:rsidRPr="004F6176">
        <w:rPr>
          <w:sz w:val="22"/>
          <w:szCs w:val="22"/>
        </w:rPr>
        <w:tab/>
        <w:t xml:space="preserve">Vývoj úrovně hladin v oblasti </w:t>
      </w:r>
      <w:r w:rsidR="003605CF" w:rsidRPr="004F6176">
        <w:rPr>
          <w:sz w:val="22"/>
          <w:szCs w:val="22"/>
        </w:rPr>
        <w:t>nového závodu – západ</w:t>
      </w:r>
    </w:p>
    <w:p w:rsidR="003605CF" w:rsidRPr="004F6176" w:rsidRDefault="003605CF" w:rsidP="003605CF">
      <w:pPr>
        <w:pStyle w:val="odstavec"/>
        <w:spacing w:before="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t>Příloha č. 8.2</w:t>
      </w:r>
      <w:r w:rsidRPr="004F6176">
        <w:rPr>
          <w:sz w:val="22"/>
          <w:szCs w:val="22"/>
        </w:rPr>
        <w:tab/>
        <w:t>Vývoj úrovně hladin v oblasti nového závodu – sever</w:t>
      </w:r>
    </w:p>
    <w:p w:rsidR="003605CF" w:rsidRPr="004F6176" w:rsidRDefault="003605CF" w:rsidP="003605CF">
      <w:pPr>
        <w:pStyle w:val="odstavec"/>
        <w:spacing w:before="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t>Příloha č. 8.3</w:t>
      </w:r>
      <w:r w:rsidRPr="004F6176">
        <w:rPr>
          <w:sz w:val="22"/>
          <w:szCs w:val="22"/>
        </w:rPr>
        <w:tab/>
        <w:t>Vývoj úrovně hladin v oblasti nového závodu – východ</w:t>
      </w:r>
    </w:p>
    <w:p w:rsidR="003605CF" w:rsidRPr="004F6176" w:rsidRDefault="003605CF" w:rsidP="003605CF">
      <w:pPr>
        <w:pStyle w:val="odstavec"/>
        <w:spacing w:before="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t>Příloha č. 8.4</w:t>
      </w:r>
      <w:r w:rsidRPr="004F6176">
        <w:rPr>
          <w:sz w:val="22"/>
          <w:szCs w:val="22"/>
        </w:rPr>
        <w:tab/>
        <w:t>Vývoj úrovně hladin v oblasti nového závodu – ostatní</w:t>
      </w:r>
    </w:p>
    <w:p w:rsidR="00EB7AD6" w:rsidRPr="004F6176" w:rsidRDefault="00EB7AD6" w:rsidP="00EB7AD6">
      <w:pPr>
        <w:pStyle w:val="odstavec"/>
        <w:spacing w:before="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t>Příloha č. 8.</w:t>
      </w:r>
      <w:r w:rsidR="003605CF" w:rsidRPr="004F6176">
        <w:rPr>
          <w:sz w:val="22"/>
          <w:szCs w:val="22"/>
        </w:rPr>
        <w:t>5</w:t>
      </w:r>
      <w:r w:rsidRPr="004F6176">
        <w:rPr>
          <w:sz w:val="22"/>
          <w:szCs w:val="22"/>
        </w:rPr>
        <w:tab/>
        <w:t xml:space="preserve">Vývoj úrovně hladin v oblasti </w:t>
      </w:r>
      <w:r w:rsidR="009C1D29" w:rsidRPr="004F6176">
        <w:rPr>
          <w:sz w:val="22"/>
          <w:szCs w:val="22"/>
        </w:rPr>
        <w:t>předpolí, Medlešic a Dřenic</w:t>
      </w:r>
    </w:p>
    <w:p w:rsidR="00DB6533" w:rsidRPr="004F6176" w:rsidRDefault="00DB6533" w:rsidP="00EB7AD6">
      <w:pPr>
        <w:pStyle w:val="odstavec"/>
        <w:spacing w:before="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t>Příloha č. 9.1</w:t>
      </w:r>
      <w:r w:rsidRPr="004F6176">
        <w:rPr>
          <w:sz w:val="22"/>
          <w:szCs w:val="22"/>
        </w:rPr>
        <w:tab/>
        <w:t xml:space="preserve">Vývoj koncentrace </w:t>
      </w:r>
      <w:r w:rsidR="003605CF" w:rsidRPr="004F6176">
        <w:rPr>
          <w:sz w:val="22"/>
          <w:szCs w:val="22"/>
        </w:rPr>
        <w:t>PCE</w:t>
      </w:r>
      <w:r w:rsidRPr="004F6176">
        <w:rPr>
          <w:sz w:val="22"/>
          <w:szCs w:val="22"/>
        </w:rPr>
        <w:t xml:space="preserve"> v oblasti hydraulické bariéry</w:t>
      </w:r>
    </w:p>
    <w:p w:rsidR="00DB6533" w:rsidRPr="004F6176" w:rsidRDefault="00DB6533" w:rsidP="00DB6533">
      <w:pPr>
        <w:pStyle w:val="odstavec"/>
        <w:spacing w:before="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t>Příloha č. 9.2</w:t>
      </w:r>
      <w:r w:rsidRPr="004F6176">
        <w:rPr>
          <w:sz w:val="22"/>
          <w:szCs w:val="22"/>
        </w:rPr>
        <w:tab/>
        <w:t xml:space="preserve">Vývoj koncentrace </w:t>
      </w:r>
      <w:r w:rsidR="003605CF" w:rsidRPr="004F6176">
        <w:rPr>
          <w:sz w:val="22"/>
          <w:szCs w:val="22"/>
        </w:rPr>
        <w:t>PCE</w:t>
      </w:r>
      <w:r w:rsidRPr="004F6176">
        <w:rPr>
          <w:sz w:val="22"/>
          <w:szCs w:val="22"/>
        </w:rPr>
        <w:t xml:space="preserve"> v oblasti </w:t>
      </w:r>
      <w:r w:rsidR="00D521BA" w:rsidRPr="004F6176">
        <w:rPr>
          <w:sz w:val="22"/>
          <w:szCs w:val="22"/>
        </w:rPr>
        <w:t>elektrodílen, kovárny a hydraulické bariéry</w:t>
      </w:r>
    </w:p>
    <w:p w:rsidR="00D521BA" w:rsidRPr="004F6176" w:rsidRDefault="00D521BA" w:rsidP="00D521BA">
      <w:pPr>
        <w:pStyle w:val="odstavec"/>
        <w:spacing w:before="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t>Příloha č. 9.3</w:t>
      </w:r>
      <w:r w:rsidRPr="004F6176">
        <w:rPr>
          <w:sz w:val="22"/>
          <w:szCs w:val="22"/>
        </w:rPr>
        <w:tab/>
        <w:t>Vývoj koncentrace PCE v oblasti Medlešic a Dřenic</w:t>
      </w:r>
    </w:p>
    <w:p w:rsidR="00DB6533" w:rsidRPr="004F6176" w:rsidRDefault="00DB6533" w:rsidP="00DB6533">
      <w:pPr>
        <w:pStyle w:val="odstavec"/>
        <w:spacing w:before="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t>Příloha č. 9.</w:t>
      </w:r>
      <w:r w:rsidR="001F594D" w:rsidRPr="004F6176">
        <w:rPr>
          <w:sz w:val="22"/>
          <w:szCs w:val="22"/>
        </w:rPr>
        <w:t>4</w:t>
      </w:r>
      <w:r w:rsidRPr="004F6176">
        <w:rPr>
          <w:sz w:val="22"/>
          <w:szCs w:val="22"/>
        </w:rPr>
        <w:tab/>
        <w:t xml:space="preserve">Vývoj koncentrace </w:t>
      </w:r>
      <w:r w:rsidR="003605CF" w:rsidRPr="004F6176">
        <w:rPr>
          <w:sz w:val="22"/>
          <w:szCs w:val="22"/>
        </w:rPr>
        <w:t>PCE</w:t>
      </w:r>
      <w:r w:rsidRPr="004F6176">
        <w:rPr>
          <w:sz w:val="22"/>
          <w:szCs w:val="22"/>
        </w:rPr>
        <w:t xml:space="preserve"> v oblasti předpolí hydraulické bariéry</w:t>
      </w:r>
    </w:p>
    <w:p w:rsidR="0041270B" w:rsidRPr="004F6176" w:rsidRDefault="0041270B" w:rsidP="0041270B">
      <w:pPr>
        <w:pStyle w:val="odstavec"/>
        <w:spacing w:before="0"/>
        <w:ind w:left="1410" w:hanging="1410"/>
        <w:rPr>
          <w:sz w:val="22"/>
          <w:szCs w:val="22"/>
        </w:rPr>
      </w:pPr>
      <w:r w:rsidRPr="004F6176">
        <w:rPr>
          <w:sz w:val="22"/>
          <w:szCs w:val="22"/>
        </w:rPr>
        <w:t xml:space="preserve">Příloha č. </w:t>
      </w:r>
      <w:r w:rsidRPr="004F6176">
        <w:rPr>
          <w:sz w:val="22"/>
          <w:szCs w:val="22"/>
          <w:lang w:val="en-US"/>
        </w:rPr>
        <w:t>10.</w:t>
      </w:r>
      <w:r w:rsidR="006C1545" w:rsidRPr="004F6176">
        <w:rPr>
          <w:sz w:val="22"/>
          <w:szCs w:val="22"/>
          <w:lang w:val="en-US"/>
        </w:rPr>
        <w:t>1</w:t>
      </w:r>
      <w:r w:rsidRPr="004F6176">
        <w:rPr>
          <w:sz w:val="22"/>
          <w:szCs w:val="22"/>
        </w:rPr>
        <w:tab/>
        <w:t xml:space="preserve">Prognóza vývoje koncentrací pro </w:t>
      </w:r>
      <w:r w:rsidR="00931E4A" w:rsidRPr="004F6176">
        <w:rPr>
          <w:sz w:val="22"/>
          <w:szCs w:val="22"/>
        </w:rPr>
        <w:t>vybrané</w:t>
      </w:r>
      <w:r w:rsidRPr="004F6176">
        <w:rPr>
          <w:sz w:val="22"/>
          <w:szCs w:val="22"/>
        </w:rPr>
        <w:t xml:space="preserve"> objekty v oblasti hydraulické bariéry – západ</w:t>
      </w:r>
    </w:p>
    <w:p w:rsidR="0041270B" w:rsidRPr="004F6176" w:rsidRDefault="0041270B" w:rsidP="0041270B">
      <w:pPr>
        <w:pStyle w:val="odstavec"/>
        <w:spacing w:before="0"/>
        <w:ind w:left="1410" w:hanging="1410"/>
        <w:rPr>
          <w:sz w:val="22"/>
          <w:szCs w:val="22"/>
        </w:rPr>
      </w:pPr>
      <w:r w:rsidRPr="004F6176">
        <w:rPr>
          <w:sz w:val="22"/>
          <w:szCs w:val="22"/>
        </w:rPr>
        <w:t xml:space="preserve">Příloha č. </w:t>
      </w:r>
      <w:r w:rsidRPr="004F6176">
        <w:rPr>
          <w:sz w:val="22"/>
          <w:szCs w:val="22"/>
          <w:lang w:val="en-US"/>
        </w:rPr>
        <w:t>10.</w:t>
      </w:r>
      <w:r w:rsidR="006C1545" w:rsidRPr="004F6176">
        <w:rPr>
          <w:sz w:val="22"/>
          <w:szCs w:val="22"/>
          <w:lang w:val="en-US"/>
        </w:rPr>
        <w:t>2</w:t>
      </w:r>
      <w:r w:rsidRPr="004F6176">
        <w:rPr>
          <w:sz w:val="22"/>
          <w:szCs w:val="22"/>
        </w:rPr>
        <w:tab/>
        <w:t xml:space="preserve">Prognóza vývoje koncentrací pro </w:t>
      </w:r>
      <w:r w:rsidR="00931E4A" w:rsidRPr="004F6176">
        <w:rPr>
          <w:sz w:val="22"/>
          <w:szCs w:val="22"/>
        </w:rPr>
        <w:t>vybrané</w:t>
      </w:r>
      <w:r w:rsidRPr="004F6176">
        <w:rPr>
          <w:sz w:val="22"/>
          <w:szCs w:val="22"/>
        </w:rPr>
        <w:t xml:space="preserve"> objekty v oblasti hydraulické bariéry – východ</w:t>
      </w:r>
    </w:p>
    <w:p w:rsidR="0041270B" w:rsidRPr="004F6176" w:rsidRDefault="0041270B" w:rsidP="0041270B">
      <w:pPr>
        <w:pStyle w:val="odstavec"/>
        <w:spacing w:before="0"/>
        <w:ind w:left="1410" w:hanging="1410"/>
        <w:rPr>
          <w:sz w:val="22"/>
          <w:szCs w:val="22"/>
        </w:rPr>
      </w:pPr>
      <w:r w:rsidRPr="004F6176">
        <w:rPr>
          <w:sz w:val="22"/>
          <w:szCs w:val="22"/>
        </w:rPr>
        <w:t xml:space="preserve">Příloha č. </w:t>
      </w:r>
      <w:r w:rsidRPr="004F6176">
        <w:rPr>
          <w:sz w:val="22"/>
          <w:szCs w:val="22"/>
          <w:lang w:val="en-US"/>
        </w:rPr>
        <w:t>10.</w:t>
      </w:r>
      <w:r w:rsidR="006C1545" w:rsidRPr="004F6176">
        <w:rPr>
          <w:sz w:val="22"/>
          <w:szCs w:val="22"/>
          <w:lang w:val="en-US"/>
        </w:rPr>
        <w:t>3</w:t>
      </w:r>
      <w:r w:rsidRPr="004F6176">
        <w:rPr>
          <w:sz w:val="22"/>
          <w:szCs w:val="22"/>
        </w:rPr>
        <w:tab/>
        <w:t xml:space="preserve">Prognóza vývoje koncentrací pro </w:t>
      </w:r>
      <w:r w:rsidR="00931E4A" w:rsidRPr="004F6176">
        <w:rPr>
          <w:sz w:val="22"/>
          <w:szCs w:val="22"/>
        </w:rPr>
        <w:t>vybrané</w:t>
      </w:r>
      <w:r w:rsidRPr="004F6176">
        <w:rPr>
          <w:sz w:val="22"/>
          <w:szCs w:val="22"/>
        </w:rPr>
        <w:t xml:space="preserve"> objekty v oblasti hydraulické bariéry – sever</w:t>
      </w:r>
    </w:p>
    <w:p w:rsidR="00A45181" w:rsidRPr="004F6176" w:rsidRDefault="00A45181" w:rsidP="00E51E90">
      <w:pPr>
        <w:pStyle w:val="odstavec"/>
        <w:spacing w:before="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t>Příloha č. 1</w:t>
      </w:r>
      <w:r w:rsidR="0041270B" w:rsidRPr="004F6176">
        <w:rPr>
          <w:sz w:val="22"/>
          <w:szCs w:val="22"/>
        </w:rPr>
        <w:t>1</w:t>
      </w:r>
      <w:r w:rsidRPr="004F6176">
        <w:rPr>
          <w:sz w:val="22"/>
          <w:szCs w:val="22"/>
        </w:rPr>
        <w:tab/>
        <w:t>Základní informace o zájmových objektech</w:t>
      </w:r>
    </w:p>
    <w:p w:rsidR="00E51E90" w:rsidRPr="004F6176" w:rsidRDefault="00736F9A" w:rsidP="00DB6533">
      <w:pPr>
        <w:pStyle w:val="odstavec"/>
        <w:spacing w:before="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t>Příloha č. 1</w:t>
      </w:r>
      <w:r w:rsidR="0041270B" w:rsidRPr="004F6176">
        <w:rPr>
          <w:sz w:val="22"/>
          <w:szCs w:val="22"/>
        </w:rPr>
        <w:t>2</w:t>
      </w:r>
      <w:r w:rsidRPr="004F6176">
        <w:rPr>
          <w:sz w:val="22"/>
          <w:szCs w:val="22"/>
        </w:rPr>
        <w:tab/>
        <w:t>Porovnání měřených a modelových hladin</w:t>
      </w:r>
    </w:p>
    <w:p w:rsidR="00736F9A" w:rsidRPr="004F6176" w:rsidRDefault="00736F9A" w:rsidP="00736F9A">
      <w:pPr>
        <w:pStyle w:val="odstavec"/>
        <w:spacing w:before="0"/>
        <w:ind w:firstLine="0"/>
        <w:rPr>
          <w:sz w:val="22"/>
          <w:szCs w:val="22"/>
        </w:rPr>
      </w:pPr>
      <w:r w:rsidRPr="004F6176">
        <w:rPr>
          <w:sz w:val="22"/>
          <w:szCs w:val="22"/>
        </w:rPr>
        <w:t>Příloha č. 1</w:t>
      </w:r>
      <w:r w:rsidR="0041270B" w:rsidRPr="004F6176">
        <w:rPr>
          <w:sz w:val="22"/>
          <w:szCs w:val="22"/>
        </w:rPr>
        <w:t>3</w:t>
      </w:r>
      <w:r w:rsidRPr="004F6176">
        <w:rPr>
          <w:sz w:val="22"/>
          <w:szCs w:val="22"/>
        </w:rPr>
        <w:tab/>
        <w:t xml:space="preserve">Porovnání měřených a modelových koncentrací </w:t>
      </w:r>
      <w:r w:rsidR="0041270B" w:rsidRPr="004F6176">
        <w:rPr>
          <w:sz w:val="22"/>
          <w:szCs w:val="22"/>
        </w:rPr>
        <w:t>PCE</w:t>
      </w:r>
    </w:p>
    <w:p w:rsidR="00736F9A" w:rsidRPr="004F6176" w:rsidRDefault="00736F9A" w:rsidP="00DB6533">
      <w:pPr>
        <w:pStyle w:val="odstavec"/>
        <w:spacing w:before="0"/>
        <w:ind w:firstLine="0"/>
        <w:rPr>
          <w:sz w:val="22"/>
          <w:szCs w:val="22"/>
        </w:rPr>
      </w:pPr>
    </w:p>
    <w:p w:rsidR="00DB6533" w:rsidRPr="004F6176" w:rsidRDefault="00DB6533" w:rsidP="00DB6533">
      <w:pPr>
        <w:pStyle w:val="odstavec"/>
        <w:spacing w:before="0"/>
        <w:ind w:firstLine="0"/>
        <w:rPr>
          <w:sz w:val="22"/>
          <w:szCs w:val="22"/>
        </w:rPr>
      </w:pPr>
    </w:p>
    <w:p w:rsidR="00DB6533" w:rsidRPr="004F6176" w:rsidRDefault="00DB6533" w:rsidP="00EB7AD6">
      <w:pPr>
        <w:pStyle w:val="odstavec"/>
        <w:spacing w:before="0"/>
        <w:ind w:firstLine="0"/>
        <w:rPr>
          <w:sz w:val="22"/>
          <w:szCs w:val="22"/>
        </w:rPr>
      </w:pPr>
    </w:p>
    <w:p w:rsidR="00EB7AD6" w:rsidRPr="004F6176" w:rsidRDefault="00EB7AD6" w:rsidP="00620DD8">
      <w:pPr>
        <w:pStyle w:val="odstavec"/>
        <w:spacing w:before="0"/>
        <w:ind w:firstLine="0"/>
        <w:rPr>
          <w:sz w:val="22"/>
          <w:szCs w:val="22"/>
        </w:rPr>
      </w:pPr>
    </w:p>
    <w:p w:rsidR="00164B3B" w:rsidRPr="004F6176" w:rsidRDefault="004D37F0" w:rsidP="005A1133">
      <w:pPr>
        <w:pStyle w:val="Nadpis1"/>
      </w:pPr>
      <w:r w:rsidRPr="004F6176">
        <w:rPr>
          <w:noProof/>
        </w:rPr>
        <w:br w:type="page"/>
      </w:r>
      <w:bookmarkStart w:id="1" w:name="_Toc405386065"/>
      <w:bookmarkStart w:id="2" w:name="_Toc405386144"/>
      <w:bookmarkStart w:id="3" w:name="_Toc39767626"/>
      <w:bookmarkStart w:id="4" w:name="_Toc39767791"/>
      <w:bookmarkStart w:id="5" w:name="_Toc69773966"/>
      <w:r w:rsidR="005A1133" w:rsidRPr="004F6176">
        <w:lastRenderedPageBreak/>
        <w:t>1</w:t>
      </w:r>
      <w:r w:rsidR="001E3E21" w:rsidRPr="004F6176">
        <w:t>.</w:t>
      </w:r>
      <w:r w:rsidR="00164B3B" w:rsidRPr="004F6176">
        <w:tab/>
        <w:t>Úvod</w:t>
      </w:r>
      <w:bookmarkEnd w:id="1"/>
      <w:bookmarkEnd w:id="2"/>
    </w:p>
    <w:p w:rsidR="00DD1F7F" w:rsidRPr="004F6176" w:rsidRDefault="00DD1F7F" w:rsidP="00DA49C5">
      <w:pPr>
        <w:ind w:firstLine="426"/>
        <w:jc w:val="both"/>
        <w:rPr>
          <w:sz w:val="22"/>
          <w:szCs w:val="22"/>
        </w:rPr>
      </w:pPr>
    </w:p>
    <w:p w:rsidR="007D58FE" w:rsidRPr="004F6176" w:rsidRDefault="00192083" w:rsidP="007D58FE">
      <w:pPr>
        <w:spacing w:before="120" w:after="120"/>
        <w:ind w:firstLine="425"/>
        <w:jc w:val="both"/>
        <w:rPr>
          <w:sz w:val="22"/>
          <w:szCs w:val="22"/>
        </w:rPr>
      </w:pPr>
      <w:r w:rsidRPr="004F6176">
        <w:rPr>
          <w:sz w:val="22"/>
          <w:szCs w:val="22"/>
        </w:rPr>
        <w:t xml:space="preserve">Předkládaná zpráva </w:t>
      </w:r>
      <w:r w:rsidR="001B50DE" w:rsidRPr="004F6176">
        <w:rPr>
          <w:sz w:val="22"/>
          <w:szCs w:val="22"/>
        </w:rPr>
        <w:t>shrnuje</w:t>
      </w:r>
      <w:r w:rsidRPr="004F6176">
        <w:rPr>
          <w:sz w:val="22"/>
          <w:szCs w:val="22"/>
        </w:rPr>
        <w:t xml:space="preserve"> výsledky aktualizace modelového </w:t>
      </w:r>
      <w:r w:rsidR="001B50DE" w:rsidRPr="004F6176">
        <w:rPr>
          <w:sz w:val="22"/>
          <w:szCs w:val="22"/>
        </w:rPr>
        <w:t>řešení proudění podzemní vody a </w:t>
      </w:r>
      <w:r w:rsidRPr="004F6176">
        <w:rPr>
          <w:sz w:val="22"/>
          <w:szCs w:val="22"/>
        </w:rPr>
        <w:t xml:space="preserve">transportu </w:t>
      </w:r>
      <w:r w:rsidR="00871807" w:rsidRPr="004F6176">
        <w:rPr>
          <w:sz w:val="22"/>
          <w:szCs w:val="22"/>
        </w:rPr>
        <w:t>perchlorethylenu</w:t>
      </w:r>
      <w:r w:rsidRPr="004F6176">
        <w:rPr>
          <w:sz w:val="22"/>
          <w:szCs w:val="22"/>
        </w:rPr>
        <w:t xml:space="preserve"> za rok </w:t>
      </w:r>
      <w:r w:rsidR="00E7346F" w:rsidRPr="004F6176">
        <w:rPr>
          <w:sz w:val="22"/>
          <w:szCs w:val="22"/>
        </w:rPr>
        <w:t>201</w:t>
      </w:r>
      <w:r w:rsidR="00B234DA" w:rsidRPr="004F6176">
        <w:rPr>
          <w:sz w:val="22"/>
          <w:szCs w:val="22"/>
        </w:rPr>
        <w:t>5</w:t>
      </w:r>
      <w:r w:rsidRPr="004F6176">
        <w:rPr>
          <w:sz w:val="22"/>
          <w:szCs w:val="22"/>
        </w:rPr>
        <w:t>. Modelové řešení bere v úvahu širší okolí bývalého podniku TRANSPORTA Chrudim, n.p.</w:t>
      </w:r>
    </w:p>
    <w:p w:rsidR="00192083" w:rsidRPr="004F6176" w:rsidRDefault="003D4F09" w:rsidP="007D58FE">
      <w:pPr>
        <w:spacing w:before="120" w:after="120"/>
        <w:ind w:firstLine="425"/>
        <w:jc w:val="both"/>
        <w:rPr>
          <w:sz w:val="22"/>
          <w:szCs w:val="22"/>
        </w:rPr>
      </w:pPr>
      <w:r w:rsidRPr="004F6176">
        <w:rPr>
          <w:sz w:val="22"/>
          <w:szCs w:val="22"/>
        </w:rPr>
        <w:t>Situace zájmového území je uvedena v příloze č. 1.</w:t>
      </w:r>
    </w:p>
    <w:p w:rsidR="00DA49C5" w:rsidRPr="004F6176" w:rsidRDefault="00DA49C5" w:rsidP="00192083">
      <w:pPr>
        <w:spacing w:before="120"/>
        <w:ind w:firstLine="425"/>
        <w:jc w:val="both"/>
        <w:rPr>
          <w:sz w:val="22"/>
          <w:szCs w:val="22"/>
        </w:rPr>
      </w:pPr>
      <w:r w:rsidRPr="004F6176">
        <w:rPr>
          <w:sz w:val="22"/>
          <w:szCs w:val="22"/>
        </w:rPr>
        <w:t xml:space="preserve">První část modelového řešení se </w:t>
      </w:r>
      <w:r w:rsidR="00CF053D" w:rsidRPr="004F6176">
        <w:rPr>
          <w:sz w:val="22"/>
          <w:szCs w:val="22"/>
        </w:rPr>
        <w:t>zabývá</w:t>
      </w:r>
      <w:r w:rsidRPr="004F6176">
        <w:rPr>
          <w:sz w:val="22"/>
          <w:szCs w:val="22"/>
        </w:rPr>
        <w:t xml:space="preserve"> </w:t>
      </w:r>
      <w:r w:rsidR="009558C1" w:rsidRPr="004F6176">
        <w:rPr>
          <w:sz w:val="22"/>
          <w:szCs w:val="22"/>
        </w:rPr>
        <w:t xml:space="preserve">kalibrací </w:t>
      </w:r>
      <w:r w:rsidRPr="004F6176">
        <w:rPr>
          <w:sz w:val="22"/>
          <w:szCs w:val="22"/>
        </w:rPr>
        <w:t>hydraulick</w:t>
      </w:r>
      <w:r w:rsidR="009558C1" w:rsidRPr="004F6176">
        <w:rPr>
          <w:sz w:val="22"/>
          <w:szCs w:val="22"/>
        </w:rPr>
        <w:t>ých</w:t>
      </w:r>
      <w:r w:rsidRPr="004F6176">
        <w:rPr>
          <w:sz w:val="22"/>
          <w:szCs w:val="22"/>
        </w:rPr>
        <w:t xml:space="preserve"> charakteristik zvodnělého kolektoru</w:t>
      </w:r>
      <w:r w:rsidR="009558C1" w:rsidRPr="004F6176">
        <w:rPr>
          <w:sz w:val="22"/>
          <w:szCs w:val="22"/>
        </w:rPr>
        <w:t>,</w:t>
      </w:r>
      <w:r w:rsidRPr="004F6176">
        <w:rPr>
          <w:sz w:val="22"/>
          <w:szCs w:val="22"/>
        </w:rPr>
        <w:t xml:space="preserve"> </w:t>
      </w:r>
      <w:r w:rsidR="009558C1" w:rsidRPr="004F6176">
        <w:rPr>
          <w:sz w:val="22"/>
          <w:szCs w:val="22"/>
        </w:rPr>
        <w:t>d</w:t>
      </w:r>
      <w:r w:rsidRPr="004F6176">
        <w:rPr>
          <w:sz w:val="22"/>
          <w:szCs w:val="22"/>
        </w:rPr>
        <w:t xml:space="preserve">ruhá část </w:t>
      </w:r>
      <w:r w:rsidR="004B2A7E" w:rsidRPr="004F6176">
        <w:rPr>
          <w:sz w:val="22"/>
          <w:szCs w:val="22"/>
        </w:rPr>
        <w:t xml:space="preserve">popisuje transport </w:t>
      </w:r>
      <w:r w:rsidR="005408EF" w:rsidRPr="004F6176">
        <w:rPr>
          <w:sz w:val="22"/>
          <w:szCs w:val="22"/>
        </w:rPr>
        <w:t xml:space="preserve">perchlorethylenu (PCE) </w:t>
      </w:r>
      <w:r w:rsidR="001B50DE" w:rsidRPr="004F6176">
        <w:rPr>
          <w:sz w:val="22"/>
          <w:szCs w:val="22"/>
        </w:rPr>
        <w:t>v podzemní vodě.</w:t>
      </w:r>
    </w:p>
    <w:p w:rsidR="00DA49C5" w:rsidRPr="004F6176" w:rsidRDefault="00DA49C5" w:rsidP="008C1C0B">
      <w:pPr>
        <w:spacing w:before="120"/>
        <w:ind w:firstLine="425"/>
        <w:jc w:val="both"/>
        <w:rPr>
          <w:sz w:val="22"/>
          <w:szCs w:val="22"/>
        </w:rPr>
      </w:pPr>
      <w:r w:rsidRPr="004F6176">
        <w:rPr>
          <w:sz w:val="22"/>
          <w:szCs w:val="22"/>
        </w:rPr>
        <w:t xml:space="preserve">Modelové řešení bylo realizováno </w:t>
      </w:r>
      <w:r w:rsidR="00EC7DE8" w:rsidRPr="004F6176">
        <w:rPr>
          <w:sz w:val="22"/>
          <w:szCs w:val="22"/>
        </w:rPr>
        <w:t xml:space="preserve">v </w:t>
      </w:r>
      <w:r w:rsidRPr="004F6176">
        <w:rPr>
          <w:sz w:val="22"/>
          <w:szCs w:val="22"/>
        </w:rPr>
        <w:t>programu Visual MODFLOW Pro</w:t>
      </w:r>
      <w:r w:rsidR="00EC7DE8" w:rsidRPr="004F6176">
        <w:rPr>
          <w:sz w:val="22"/>
          <w:szCs w:val="22"/>
        </w:rPr>
        <w:t>fessional,</w:t>
      </w:r>
      <w:r w:rsidRPr="004F6176">
        <w:rPr>
          <w:sz w:val="22"/>
          <w:szCs w:val="22"/>
        </w:rPr>
        <w:t xml:space="preserve"> verze 20</w:t>
      </w:r>
      <w:r w:rsidR="00776608" w:rsidRPr="004F6176">
        <w:rPr>
          <w:sz w:val="22"/>
          <w:szCs w:val="22"/>
        </w:rPr>
        <w:t>1</w:t>
      </w:r>
      <w:r w:rsidR="00871807" w:rsidRPr="004F6176">
        <w:rPr>
          <w:sz w:val="22"/>
          <w:szCs w:val="22"/>
        </w:rPr>
        <w:t>1</w:t>
      </w:r>
      <w:r w:rsidRPr="004F6176">
        <w:rPr>
          <w:sz w:val="22"/>
          <w:szCs w:val="22"/>
        </w:rPr>
        <w:t>.1</w:t>
      </w:r>
      <w:r w:rsidR="00EC7DE8" w:rsidRPr="004F6176">
        <w:rPr>
          <w:sz w:val="22"/>
          <w:szCs w:val="22"/>
        </w:rPr>
        <w:t>,</w:t>
      </w:r>
      <w:r w:rsidRPr="004F6176">
        <w:rPr>
          <w:sz w:val="22"/>
          <w:szCs w:val="22"/>
        </w:rPr>
        <w:t xml:space="preserve"> od</w:t>
      </w:r>
      <w:r w:rsidR="00EC7DE8" w:rsidRPr="004F6176">
        <w:rPr>
          <w:sz w:val="22"/>
          <w:szCs w:val="22"/>
        </w:rPr>
        <w:t> </w:t>
      </w:r>
      <w:r w:rsidRPr="004F6176">
        <w:rPr>
          <w:sz w:val="22"/>
          <w:szCs w:val="22"/>
        </w:rPr>
        <w:t>firmy Schlumberger Canada Ltd.,</w:t>
      </w:r>
      <w:r w:rsidR="005614AD" w:rsidRPr="004F6176">
        <w:rPr>
          <w:sz w:val="22"/>
          <w:szCs w:val="22"/>
        </w:rPr>
        <w:t xml:space="preserve"> </w:t>
      </w:r>
      <w:r w:rsidRPr="004F6176">
        <w:rPr>
          <w:sz w:val="22"/>
          <w:szCs w:val="22"/>
        </w:rPr>
        <w:t xml:space="preserve">Waterloo Hydrogeologic Division, Kanada. Program umožňuje 3D modelování, tzn. že je možné zohlednit prostorovou variabilitu hydrogeologických parametrů. Numerické řešení řídící rovnice je založeno na metodě sítí s uzly umístěnými do středů bloků </w:t>
      </w:r>
      <w:r w:rsidR="00A25125" w:rsidRPr="004F6176">
        <w:rPr>
          <w:sz w:val="22"/>
          <w:szCs w:val="22"/>
        </w:rPr>
        <w:t>ortogonální</w:t>
      </w:r>
      <w:r w:rsidRPr="004F6176">
        <w:rPr>
          <w:sz w:val="22"/>
          <w:szCs w:val="22"/>
        </w:rPr>
        <w:t xml:space="preserve"> sítě. Transport chemických látek v horninovém prostředí je řešen pomocí 3</w:t>
      </w:r>
      <w:r w:rsidR="001B50DE" w:rsidRPr="004F6176">
        <w:rPr>
          <w:sz w:val="22"/>
          <w:szCs w:val="22"/>
        </w:rPr>
        <w:t>D advekčně-disperzních rovnic a </w:t>
      </w:r>
      <w:r w:rsidRPr="004F6176">
        <w:rPr>
          <w:sz w:val="22"/>
          <w:szCs w:val="22"/>
        </w:rPr>
        <w:t>chemických reakcí v programu MT3D99, který je součástí programového setu</w:t>
      </w:r>
      <w:r w:rsidR="004B2A7E" w:rsidRPr="004F6176">
        <w:rPr>
          <w:sz w:val="22"/>
          <w:szCs w:val="22"/>
        </w:rPr>
        <w:t>.</w:t>
      </w:r>
    </w:p>
    <w:p w:rsidR="007D58FE" w:rsidRPr="004F6176" w:rsidRDefault="007D58FE" w:rsidP="008C1C0B">
      <w:pPr>
        <w:spacing w:before="120"/>
        <w:ind w:firstLine="425"/>
        <w:jc w:val="both"/>
        <w:rPr>
          <w:sz w:val="22"/>
          <w:szCs w:val="22"/>
        </w:rPr>
      </w:pPr>
      <w:r w:rsidRPr="004F6176">
        <w:rPr>
          <w:sz w:val="22"/>
          <w:szCs w:val="22"/>
        </w:rPr>
        <w:t xml:space="preserve">Aktuální verze odráží provedený sanační zásah v ohniscích znečištění a soustředí se na krátkodobý výhled vývoje kontaminace. </w:t>
      </w:r>
    </w:p>
    <w:p w:rsidR="004B2A7E" w:rsidRPr="004F6176" w:rsidRDefault="004B2A7E" w:rsidP="004B2A7E">
      <w:pPr>
        <w:spacing w:before="120"/>
        <w:jc w:val="both"/>
        <w:rPr>
          <w:sz w:val="22"/>
          <w:szCs w:val="22"/>
        </w:rPr>
      </w:pPr>
    </w:p>
    <w:p w:rsidR="00DA49C5" w:rsidRPr="004F6176" w:rsidRDefault="00DA49C5" w:rsidP="00DA49C5">
      <w:pPr>
        <w:pStyle w:val="Zkladntextodsazen"/>
        <w:ind w:firstLine="0"/>
        <w:rPr>
          <w:b/>
          <w:i/>
          <w:sz w:val="22"/>
          <w:szCs w:val="22"/>
          <w:u w:val="single"/>
        </w:rPr>
      </w:pPr>
      <w:r w:rsidRPr="004F6176">
        <w:rPr>
          <w:b/>
          <w:i/>
          <w:sz w:val="22"/>
          <w:szCs w:val="22"/>
          <w:u w:val="single"/>
        </w:rPr>
        <w:t>Cíle modelového řešení:</w:t>
      </w:r>
    </w:p>
    <w:p w:rsidR="00DA49C5" w:rsidRPr="004F6176" w:rsidRDefault="009F7B0D" w:rsidP="009F577D">
      <w:pPr>
        <w:pStyle w:val="Zkladntextodsazen"/>
        <w:numPr>
          <w:ilvl w:val="0"/>
          <w:numId w:val="12"/>
        </w:numPr>
        <w:tabs>
          <w:tab w:val="clear" w:pos="1636"/>
        </w:tabs>
        <w:ind w:left="284" w:hanging="283"/>
        <w:rPr>
          <w:b/>
          <w:sz w:val="22"/>
          <w:szCs w:val="22"/>
        </w:rPr>
      </w:pPr>
      <w:r w:rsidRPr="004F6176">
        <w:rPr>
          <w:b/>
          <w:sz w:val="22"/>
          <w:szCs w:val="22"/>
        </w:rPr>
        <w:t>H</w:t>
      </w:r>
      <w:r w:rsidR="00DA49C5" w:rsidRPr="004F6176">
        <w:rPr>
          <w:b/>
          <w:sz w:val="22"/>
          <w:szCs w:val="22"/>
        </w:rPr>
        <w:t>ydraulická část:</w:t>
      </w:r>
    </w:p>
    <w:p w:rsidR="00DA49C5" w:rsidRPr="004F6176" w:rsidRDefault="00871807" w:rsidP="00841007">
      <w:pPr>
        <w:pStyle w:val="Datum"/>
        <w:numPr>
          <w:ilvl w:val="0"/>
          <w:numId w:val="23"/>
        </w:numPr>
        <w:spacing w:before="40"/>
        <w:ind w:left="567" w:hanging="283"/>
        <w:jc w:val="both"/>
        <w:rPr>
          <w:sz w:val="22"/>
          <w:szCs w:val="22"/>
        </w:rPr>
      </w:pPr>
      <w:r w:rsidRPr="004F6176">
        <w:rPr>
          <w:sz w:val="22"/>
          <w:szCs w:val="22"/>
        </w:rPr>
        <w:t>ne</w:t>
      </w:r>
      <w:r w:rsidR="009F7B0D" w:rsidRPr="004F6176">
        <w:rPr>
          <w:sz w:val="22"/>
          <w:szCs w:val="22"/>
        </w:rPr>
        <w:t>s</w:t>
      </w:r>
      <w:r w:rsidR="00DA49C5" w:rsidRPr="004F6176">
        <w:rPr>
          <w:sz w:val="22"/>
          <w:szCs w:val="22"/>
        </w:rPr>
        <w:t>tacionární simulace proudění podzemní vody</w:t>
      </w:r>
      <w:r w:rsidR="007D58FE" w:rsidRPr="004F6176">
        <w:rPr>
          <w:sz w:val="22"/>
          <w:szCs w:val="22"/>
        </w:rPr>
        <w:t>,</w:t>
      </w:r>
    </w:p>
    <w:p w:rsidR="00CF053D" w:rsidRPr="004F6176" w:rsidRDefault="00871807" w:rsidP="00841007">
      <w:pPr>
        <w:pStyle w:val="Zkladntext"/>
        <w:numPr>
          <w:ilvl w:val="0"/>
          <w:numId w:val="23"/>
        </w:numPr>
        <w:spacing w:before="40"/>
        <w:ind w:left="567" w:hanging="283"/>
        <w:jc w:val="both"/>
        <w:rPr>
          <w:b w:val="0"/>
          <w:i w:val="0"/>
          <w:sz w:val="22"/>
          <w:szCs w:val="22"/>
        </w:rPr>
      </w:pPr>
      <w:r w:rsidRPr="004F6176">
        <w:rPr>
          <w:b w:val="0"/>
          <w:i w:val="0"/>
          <w:sz w:val="22"/>
          <w:szCs w:val="22"/>
        </w:rPr>
        <w:t>ne</w:t>
      </w:r>
      <w:r w:rsidR="00DA49C5" w:rsidRPr="004F6176">
        <w:rPr>
          <w:b w:val="0"/>
          <w:i w:val="0"/>
          <w:sz w:val="22"/>
          <w:szCs w:val="22"/>
        </w:rPr>
        <w:t>stacionární simulace ovlivněného proudění podzemní vody na zájmové lokalitě</w:t>
      </w:r>
      <w:r w:rsidR="00DC2334" w:rsidRPr="004F6176">
        <w:rPr>
          <w:b w:val="0"/>
          <w:i w:val="0"/>
          <w:sz w:val="22"/>
          <w:szCs w:val="22"/>
        </w:rPr>
        <w:t>;</w:t>
      </w:r>
      <w:r w:rsidR="00DA49C5" w:rsidRPr="004F6176">
        <w:rPr>
          <w:b w:val="0"/>
          <w:i w:val="0"/>
          <w:sz w:val="22"/>
          <w:szCs w:val="22"/>
        </w:rPr>
        <w:t xml:space="preserve"> varianta </w:t>
      </w:r>
      <w:r w:rsidR="006F5A5A" w:rsidRPr="004F6176">
        <w:rPr>
          <w:b w:val="0"/>
          <w:i w:val="0"/>
          <w:sz w:val="22"/>
          <w:szCs w:val="22"/>
        </w:rPr>
        <w:t xml:space="preserve">je </w:t>
      </w:r>
      <w:r w:rsidR="00CF053D" w:rsidRPr="004F6176">
        <w:rPr>
          <w:b w:val="0"/>
          <w:i w:val="0"/>
          <w:sz w:val="22"/>
          <w:szCs w:val="22"/>
        </w:rPr>
        <w:t>podklad</w:t>
      </w:r>
      <w:r w:rsidR="006F5A5A" w:rsidRPr="004F6176">
        <w:rPr>
          <w:b w:val="0"/>
          <w:i w:val="0"/>
          <w:sz w:val="22"/>
          <w:szCs w:val="22"/>
        </w:rPr>
        <w:t>em</w:t>
      </w:r>
      <w:r w:rsidR="00CF053D" w:rsidRPr="004F6176">
        <w:rPr>
          <w:b w:val="0"/>
          <w:i w:val="0"/>
          <w:sz w:val="22"/>
          <w:szCs w:val="22"/>
        </w:rPr>
        <w:t xml:space="preserve"> pro prognózní </w:t>
      </w:r>
      <w:r w:rsidR="008C1C0B" w:rsidRPr="004F6176">
        <w:rPr>
          <w:b w:val="0"/>
          <w:i w:val="0"/>
          <w:sz w:val="22"/>
          <w:szCs w:val="22"/>
        </w:rPr>
        <w:t xml:space="preserve">simulaci transportu </w:t>
      </w:r>
      <w:r w:rsidR="005408EF" w:rsidRPr="004F6176">
        <w:rPr>
          <w:b w:val="0"/>
          <w:i w:val="0"/>
          <w:sz w:val="22"/>
          <w:szCs w:val="22"/>
        </w:rPr>
        <w:t>PCE</w:t>
      </w:r>
      <w:r w:rsidR="00CF053D" w:rsidRPr="004F6176">
        <w:rPr>
          <w:b w:val="0"/>
          <w:i w:val="0"/>
          <w:sz w:val="22"/>
          <w:szCs w:val="22"/>
        </w:rPr>
        <w:t xml:space="preserve"> na lokalitě</w:t>
      </w:r>
      <w:r w:rsidR="007D58FE" w:rsidRPr="004F6176">
        <w:rPr>
          <w:b w:val="0"/>
          <w:i w:val="0"/>
          <w:sz w:val="22"/>
          <w:szCs w:val="22"/>
        </w:rPr>
        <w:t>.</w:t>
      </w:r>
    </w:p>
    <w:p w:rsidR="00DA49C5" w:rsidRPr="004F6176" w:rsidRDefault="009F7B0D" w:rsidP="009F577D">
      <w:pPr>
        <w:pStyle w:val="Zkladntextodsazen"/>
        <w:numPr>
          <w:ilvl w:val="0"/>
          <w:numId w:val="12"/>
        </w:numPr>
        <w:tabs>
          <w:tab w:val="clear" w:pos="1636"/>
        </w:tabs>
        <w:ind w:left="284" w:hanging="284"/>
        <w:rPr>
          <w:b/>
          <w:sz w:val="22"/>
          <w:szCs w:val="22"/>
        </w:rPr>
      </w:pPr>
      <w:r w:rsidRPr="004F6176">
        <w:rPr>
          <w:b/>
          <w:sz w:val="22"/>
          <w:szCs w:val="22"/>
        </w:rPr>
        <w:t>T</w:t>
      </w:r>
      <w:r w:rsidR="00DA49C5" w:rsidRPr="004F6176">
        <w:rPr>
          <w:b/>
          <w:sz w:val="22"/>
          <w:szCs w:val="22"/>
        </w:rPr>
        <w:t>ransportní část:</w:t>
      </w:r>
    </w:p>
    <w:p w:rsidR="005408EF" w:rsidRPr="004F6176" w:rsidRDefault="009F7B0D" w:rsidP="00841007">
      <w:pPr>
        <w:pStyle w:val="Datum"/>
        <w:numPr>
          <w:ilvl w:val="0"/>
          <w:numId w:val="10"/>
        </w:numPr>
        <w:tabs>
          <w:tab w:val="clear" w:pos="360"/>
          <w:tab w:val="num" w:pos="851"/>
        </w:tabs>
        <w:spacing w:before="40"/>
        <w:ind w:left="567" w:hanging="283"/>
        <w:jc w:val="both"/>
        <w:rPr>
          <w:sz w:val="22"/>
          <w:szCs w:val="22"/>
        </w:rPr>
      </w:pPr>
      <w:r w:rsidRPr="004F6176">
        <w:rPr>
          <w:sz w:val="22"/>
          <w:szCs w:val="22"/>
        </w:rPr>
        <w:t>a</w:t>
      </w:r>
      <w:r w:rsidR="00DA49C5" w:rsidRPr="004F6176">
        <w:rPr>
          <w:sz w:val="22"/>
          <w:szCs w:val="22"/>
        </w:rPr>
        <w:t xml:space="preserve">ktuální rozsah znečištění podzemních vod </w:t>
      </w:r>
      <w:r w:rsidR="005408EF" w:rsidRPr="004F6176">
        <w:rPr>
          <w:sz w:val="22"/>
          <w:szCs w:val="22"/>
        </w:rPr>
        <w:t>PCE</w:t>
      </w:r>
      <w:r w:rsidR="00DA49C5" w:rsidRPr="004F6176">
        <w:rPr>
          <w:sz w:val="22"/>
          <w:szCs w:val="22"/>
        </w:rPr>
        <w:t xml:space="preserve"> v zájmovém územ</w:t>
      </w:r>
      <w:r w:rsidR="005408EF" w:rsidRPr="004F6176">
        <w:rPr>
          <w:sz w:val="22"/>
          <w:szCs w:val="22"/>
        </w:rPr>
        <w:t>í</w:t>
      </w:r>
      <w:r w:rsidR="007D58FE" w:rsidRPr="004F6176">
        <w:rPr>
          <w:sz w:val="22"/>
          <w:szCs w:val="22"/>
        </w:rPr>
        <w:t>,</w:t>
      </w:r>
    </w:p>
    <w:p w:rsidR="007D58FE" w:rsidRPr="004F6176" w:rsidRDefault="005408EF" w:rsidP="00841007">
      <w:pPr>
        <w:pStyle w:val="Datum"/>
        <w:numPr>
          <w:ilvl w:val="0"/>
          <w:numId w:val="10"/>
        </w:numPr>
        <w:tabs>
          <w:tab w:val="clear" w:pos="360"/>
          <w:tab w:val="num" w:pos="851"/>
        </w:tabs>
        <w:spacing w:before="40"/>
        <w:ind w:left="567" w:hanging="283"/>
        <w:jc w:val="both"/>
        <w:rPr>
          <w:sz w:val="22"/>
          <w:szCs w:val="22"/>
        </w:rPr>
      </w:pPr>
      <w:r w:rsidRPr="004F6176">
        <w:rPr>
          <w:sz w:val="22"/>
          <w:szCs w:val="22"/>
        </w:rPr>
        <w:t>bilance PCE v saturované zóně horninového prostředí</w:t>
      </w:r>
      <w:r w:rsidR="007D58FE" w:rsidRPr="004F6176">
        <w:rPr>
          <w:sz w:val="22"/>
          <w:szCs w:val="22"/>
        </w:rPr>
        <w:t>,</w:t>
      </w:r>
    </w:p>
    <w:p w:rsidR="00841007" w:rsidRPr="004F6176" w:rsidRDefault="00AF696B" w:rsidP="00841007">
      <w:pPr>
        <w:pStyle w:val="Datum"/>
        <w:numPr>
          <w:ilvl w:val="0"/>
          <w:numId w:val="10"/>
        </w:numPr>
        <w:tabs>
          <w:tab w:val="clear" w:pos="360"/>
          <w:tab w:val="num" w:pos="851"/>
        </w:tabs>
        <w:spacing w:before="40"/>
        <w:ind w:left="567" w:hanging="283"/>
        <w:jc w:val="both"/>
        <w:rPr>
          <w:sz w:val="22"/>
          <w:szCs w:val="22"/>
        </w:rPr>
      </w:pPr>
      <w:r w:rsidRPr="004F6176">
        <w:rPr>
          <w:sz w:val="22"/>
          <w:szCs w:val="22"/>
        </w:rPr>
        <w:t xml:space="preserve">v rámci prognózní simulace transportu </w:t>
      </w:r>
      <w:r w:rsidR="00F1046E" w:rsidRPr="004F6176">
        <w:rPr>
          <w:sz w:val="22"/>
          <w:szCs w:val="22"/>
        </w:rPr>
        <w:t>za rok 201</w:t>
      </w:r>
      <w:r w:rsidR="00855AE9" w:rsidRPr="004F6176">
        <w:rPr>
          <w:sz w:val="22"/>
          <w:szCs w:val="22"/>
        </w:rPr>
        <w:t>6</w:t>
      </w:r>
      <w:r w:rsidR="00F1046E" w:rsidRPr="004F6176">
        <w:rPr>
          <w:sz w:val="22"/>
          <w:szCs w:val="22"/>
        </w:rPr>
        <w:t xml:space="preserve"> </w:t>
      </w:r>
      <w:r w:rsidRPr="004F6176">
        <w:rPr>
          <w:sz w:val="22"/>
          <w:szCs w:val="22"/>
        </w:rPr>
        <w:t>byl</w:t>
      </w:r>
      <w:r w:rsidR="007D58FE" w:rsidRPr="004F6176">
        <w:rPr>
          <w:sz w:val="22"/>
          <w:szCs w:val="22"/>
        </w:rPr>
        <w:t>o uvažováno pouze jedno řešení - stávající stav s</w:t>
      </w:r>
      <w:r w:rsidR="00855AE9" w:rsidRPr="004F6176">
        <w:rPr>
          <w:sz w:val="22"/>
          <w:szCs w:val="22"/>
        </w:rPr>
        <w:t xml:space="preserve"> odstávkou</w:t>
      </w:r>
      <w:r w:rsidR="007D58FE" w:rsidRPr="004F6176">
        <w:rPr>
          <w:sz w:val="22"/>
          <w:szCs w:val="22"/>
        </w:rPr>
        <w:t xml:space="preserve"> </w:t>
      </w:r>
      <w:r w:rsidR="00855AE9" w:rsidRPr="004F6176">
        <w:rPr>
          <w:sz w:val="22"/>
          <w:szCs w:val="22"/>
        </w:rPr>
        <w:t xml:space="preserve"> hydraulické bariéry na konci sanace</w:t>
      </w:r>
      <w:r w:rsidR="007D58FE" w:rsidRPr="004F6176">
        <w:rPr>
          <w:sz w:val="22"/>
          <w:szCs w:val="22"/>
        </w:rPr>
        <w:t xml:space="preserve"> v simulaci </w:t>
      </w:r>
      <w:r w:rsidR="00841007" w:rsidRPr="004F6176">
        <w:rPr>
          <w:sz w:val="22"/>
          <w:szCs w:val="22"/>
        </w:rPr>
        <w:t xml:space="preserve">do horizontu </w:t>
      </w:r>
      <w:r w:rsidR="007D58FE" w:rsidRPr="004F6176">
        <w:rPr>
          <w:sz w:val="22"/>
          <w:szCs w:val="22"/>
        </w:rPr>
        <w:t>10 let,</w:t>
      </w:r>
    </w:p>
    <w:p w:rsidR="00841007" w:rsidRPr="004F6176" w:rsidRDefault="00841007" w:rsidP="00841007">
      <w:pPr>
        <w:pStyle w:val="Odstavecseseznamem"/>
        <w:numPr>
          <w:ilvl w:val="0"/>
          <w:numId w:val="10"/>
        </w:numPr>
        <w:tabs>
          <w:tab w:val="clear" w:pos="360"/>
          <w:tab w:val="num" w:pos="567"/>
        </w:tabs>
        <w:ind w:left="567" w:hanging="283"/>
        <w:rPr>
          <w:sz w:val="22"/>
          <w:szCs w:val="22"/>
        </w:rPr>
      </w:pPr>
      <w:r w:rsidRPr="004F6176">
        <w:rPr>
          <w:sz w:val="22"/>
          <w:szCs w:val="22"/>
        </w:rPr>
        <w:t>analýza výsledků simulace vzhledem ke stávající hydraulické bariéře.</w:t>
      </w:r>
    </w:p>
    <w:p w:rsidR="007D58FE" w:rsidRPr="004F6176" w:rsidRDefault="007D58FE" w:rsidP="007D58FE">
      <w:pPr>
        <w:rPr>
          <w:sz w:val="22"/>
          <w:szCs w:val="22"/>
        </w:rPr>
      </w:pPr>
    </w:p>
    <w:p w:rsidR="00DA49C5" w:rsidRPr="004F6176" w:rsidRDefault="00DA49C5" w:rsidP="00871807">
      <w:pPr>
        <w:pStyle w:val="Datum"/>
        <w:spacing w:before="40"/>
        <w:jc w:val="both"/>
        <w:rPr>
          <w:sz w:val="22"/>
          <w:szCs w:val="22"/>
        </w:rPr>
      </w:pPr>
    </w:p>
    <w:p w:rsidR="00FF6F84" w:rsidRPr="004F6176" w:rsidRDefault="006E5788" w:rsidP="005854E5">
      <w:pPr>
        <w:spacing w:before="120"/>
        <w:rPr>
          <w:b/>
          <w:sz w:val="22"/>
          <w:szCs w:val="22"/>
        </w:rPr>
      </w:pPr>
      <w:r w:rsidRPr="004F6176">
        <w:rPr>
          <w:b/>
          <w:sz w:val="22"/>
          <w:szCs w:val="22"/>
        </w:rPr>
        <w:t>Jako výchozí podklady pro zpracování modelového řešení</w:t>
      </w:r>
      <w:r w:rsidR="002F278A" w:rsidRPr="004F6176">
        <w:rPr>
          <w:b/>
          <w:sz w:val="22"/>
          <w:szCs w:val="22"/>
        </w:rPr>
        <w:t xml:space="preserve"> byly využity</w:t>
      </w:r>
      <w:r w:rsidR="00FF6F84" w:rsidRPr="004F6176">
        <w:rPr>
          <w:b/>
          <w:sz w:val="22"/>
          <w:szCs w:val="22"/>
        </w:rPr>
        <w:t>:</w:t>
      </w:r>
    </w:p>
    <w:p w:rsidR="00B94516" w:rsidRPr="004F6176" w:rsidRDefault="008C1C0B" w:rsidP="009F577D">
      <w:pPr>
        <w:numPr>
          <w:ilvl w:val="0"/>
          <w:numId w:val="7"/>
        </w:numPr>
        <w:spacing w:before="60"/>
        <w:ind w:left="357" w:hanging="357"/>
        <w:rPr>
          <w:sz w:val="22"/>
          <w:szCs w:val="22"/>
        </w:rPr>
      </w:pPr>
      <w:r w:rsidRPr="004F6176">
        <w:rPr>
          <w:sz w:val="22"/>
          <w:szCs w:val="22"/>
        </w:rPr>
        <w:t>výsledky analýz podzemní vody z pravidelného monitoringu</w:t>
      </w:r>
      <w:r w:rsidR="00EC638F" w:rsidRPr="004F6176">
        <w:rPr>
          <w:sz w:val="22"/>
          <w:szCs w:val="22"/>
        </w:rPr>
        <w:t>,</w:t>
      </w:r>
    </w:p>
    <w:p w:rsidR="00192083" w:rsidRPr="004F6176" w:rsidRDefault="00192083" w:rsidP="009F577D">
      <w:pPr>
        <w:numPr>
          <w:ilvl w:val="0"/>
          <w:numId w:val="7"/>
        </w:numPr>
        <w:spacing w:before="60"/>
        <w:ind w:left="357" w:hanging="357"/>
        <w:rPr>
          <w:sz w:val="22"/>
          <w:szCs w:val="22"/>
        </w:rPr>
      </w:pPr>
      <w:r w:rsidRPr="004F6176">
        <w:rPr>
          <w:sz w:val="22"/>
          <w:szCs w:val="22"/>
        </w:rPr>
        <w:t xml:space="preserve">zaměření hladin </w:t>
      </w:r>
      <w:r w:rsidR="004706FE" w:rsidRPr="004F6176">
        <w:rPr>
          <w:sz w:val="22"/>
          <w:szCs w:val="22"/>
        </w:rPr>
        <w:t>z pravidelného monitoringu,</w:t>
      </w:r>
    </w:p>
    <w:p w:rsidR="00404B9E" w:rsidRPr="004F6176" w:rsidRDefault="00404B9E" w:rsidP="009F577D">
      <w:pPr>
        <w:numPr>
          <w:ilvl w:val="0"/>
          <w:numId w:val="7"/>
        </w:numPr>
        <w:spacing w:before="60"/>
        <w:ind w:left="357" w:hanging="357"/>
        <w:rPr>
          <w:sz w:val="22"/>
          <w:szCs w:val="22"/>
        </w:rPr>
      </w:pPr>
      <w:r w:rsidRPr="004F6176">
        <w:rPr>
          <w:sz w:val="22"/>
          <w:szCs w:val="22"/>
        </w:rPr>
        <w:t xml:space="preserve">modelové řešení společnosti PROGEO, s.r.o. </w:t>
      </w:r>
      <w:bookmarkStart w:id="6" w:name="OLE_LINK1"/>
      <w:bookmarkStart w:id="7" w:name="OLE_LINK2"/>
      <w:r w:rsidRPr="004F6176">
        <w:rPr>
          <w:sz w:val="22"/>
          <w:szCs w:val="22"/>
        </w:rPr>
        <w:t xml:space="preserve">z let </w:t>
      </w:r>
      <w:bookmarkEnd w:id="6"/>
      <w:bookmarkEnd w:id="7"/>
      <w:r w:rsidRPr="004F6176">
        <w:rPr>
          <w:sz w:val="22"/>
          <w:szCs w:val="22"/>
        </w:rPr>
        <w:t>2004</w:t>
      </w:r>
      <w:r w:rsidR="00EC638F" w:rsidRPr="004F6176">
        <w:rPr>
          <w:sz w:val="22"/>
          <w:szCs w:val="22"/>
        </w:rPr>
        <w:t>–2009,</w:t>
      </w:r>
    </w:p>
    <w:p w:rsidR="00776608" w:rsidRPr="004F6176" w:rsidRDefault="00776608" w:rsidP="009F577D">
      <w:pPr>
        <w:numPr>
          <w:ilvl w:val="0"/>
          <w:numId w:val="7"/>
        </w:numPr>
        <w:spacing w:before="60"/>
        <w:ind w:left="357" w:hanging="357"/>
        <w:rPr>
          <w:sz w:val="22"/>
          <w:szCs w:val="22"/>
        </w:rPr>
      </w:pPr>
      <w:r w:rsidRPr="004F6176">
        <w:rPr>
          <w:sz w:val="22"/>
          <w:szCs w:val="22"/>
        </w:rPr>
        <w:t xml:space="preserve">modelové řešení </w:t>
      </w:r>
      <w:r w:rsidR="00834600" w:rsidRPr="004F6176">
        <w:rPr>
          <w:sz w:val="22"/>
          <w:szCs w:val="22"/>
        </w:rPr>
        <w:t xml:space="preserve">Vodních zdrojů Ekomonitor, spol. s r.o. </w:t>
      </w:r>
      <w:r w:rsidRPr="004F6176">
        <w:rPr>
          <w:sz w:val="22"/>
          <w:szCs w:val="22"/>
        </w:rPr>
        <w:t>za rok</w:t>
      </w:r>
      <w:r w:rsidR="00834600" w:rsidRPr="004F6176">
        <w:rPr>
          <w:sz w:val="22"/>
          <w:szCs w:val="22"/>
        </w:rPr>
        <w:t>y</w:t>
      </w:r>
      <w:r w:rsidRPr="004F6176">
        <w:rPr>
          <w:sz w:val="22"/>
          <w:szCs w:val="22"/>
        </w:rPr>
        <w:t xml:space="preserve"> 2010</w:t>
      </w:r>
      <w:r w:rsidR="00834600" w:rsidRPr="004F6176">
        <w:rPr>
          <w:sz w:val="22"/>
          <w:szCs w:val="22"/>
        </w:rPr>
        <w:t>–201</w:t>
      </w:r>
      <w:r w:rsidR="00855AE9" w:rsidRPr="004F6176">
        <w:rPr>
          <w:sz w:val="22"/>
          <w:szCs w:val="22"/>
        </w:rPr>
        <w:t>5</w:t>
      </w:r>
      <w:r w:rsidRPr="004F6176">
        <w:rPr>
          <w:sz w:val="22"/>
          <w:szCs w:val="22"/>
        </w:rPr>
        <w:t>,</w:t>
      </w:r>
    </w:p>
    <w:p w:rsidR="0009724D" w:rsidRPr="004F6176" w:rsidRDefault="0009724D" w:rsidP="009F577D">
      <w:pPr>
        <w:numPr>
          <w:ilvl w:val="0"/>
          <w:numId w:val="7"/>
        </w:numPr>
        <w:spacing w:before="60"/>
        <w:ind w:left="357" w:hanging="357"/>
        <w:rPr>
          <w:sz w:val="22"/>
          <w:szCs w:val="22"/>
        </w:rPr>
      </w:pPr>
      <w:r w:rsidRPr="004F6176">
        <w:rPr>
          <w:sz w:val="22"/>
          <w:szCs w:val="22"/>
        </w:rPr>
        <w:t>výsledky provedených geofyzikálních měření na lokalitě</w:t>
      </w:r>
      <w:r w:rsidR="00085421" w:rsidRPr="004F6176">
        <w:rPr>
          <w:sz w:val="22"/>
          <w:szCs w:val="22"/>
        </w:rPr>
        <w:t>,</w:t>
      </w:r>
    </w:p>
    <w:p w:rsidR="00085421" w:rsidRPr="004F6176" w:rsidRDefault="00085421" w:rsidP="009F577D">
      <w:pPr>
        <w:numPr>
          <w:ilvl w:val="0"/>
          <w:numId w:val="7"/>
        </w:numPr>
        <w:spacing w:before="60"/>
        <w:ind w:left="357" w:hanging="357"/>
        <w:rPr>
          <w:sz w:val="22"/>
          <w:szCs w:val="22"/>
        </w:rPr>
      </w:pPr>
      <w:r w:rsidRPr="004F6176">
        <w:rPr>
          <w:sz w:val="22"/>
          <w:szCs w:val="22"/>
        </w:rPr>
        <w:t xml:space="preserve">výsledky hydrometrování na </w:t>
      </w:r>
      <w:r w:rsidR="005A6779" w:rsidRPr="004F6176">
        <w:rPr>
          <w:sz w:val="22"/>
          <w:szCs w:val="22"/>
        </w:rPr>
        <w:t xml:space="preserve">vybraných </w:t>
      </w:r>
      <w:r w:rsidRPr="004F6176">
        <w:rPr>
          <w:sz w:val="22"/>
          <w:szCs w:val="22"/>
        </w:rPr>
        <w:t>tocích,</w:t>
      </w:r>
    </w:p>
    <w:p w:rsidR="00492083" w:rsidRPr="004F6176" w:rsidRDefault="00492083" w:rsidP="009F577D">
      <w:pPr>
        <w:numPr>
          <w:ilvl w:val="0"/>
          <w:numId w:val="7"/>
        </w:numPr>
        <w:spacing w:before="60"/>
        <w:ind w:left="357" w:hanging="357"/>
        <w:rPr>
          <w:sz w:val="22"/>
          <w:szCs w:val="22"/>
        </w:rPr>
      </w:pPr>
      <w:r w:rsidRPr="004F6176">
        <w:rPr>
          <w:sz w:val="22"/>
          <w:szCs w:val="22"/>
        </w:rPr>
        <w:t>výsledky hydrodynamických zkoušek,</w:t>
      </w:r>
    </w:p>
    <w:p w:rsidR="00DD434D" w:rsidRPr="004F6176" w:rsidRDefault="005A6779" w:rsidP="009F577D">
      <w:pPr>
        <w:numPr>
          <w:ilvl w:val="0"/>
          <w:numId w:val="7"/>
        </w:numPr>
        <w:spacing w:before="60"/>
        <w:ind w:left="357" w:hanging="357"/>
        <w:rPr>
          <w:sz w:val="22"/>
          <w:szCs w:val="22"/>
        </w:rPr>
      </w:pPr>
      <w:r w:rsidRPr="004F6176">
        <w:rPr>
          <w:sz w:val="22"/>
          <w:szCs w:val="22"/>
        </w:rPr>
        <w:t xml:space="preserve">výsledky </w:t>
      </w:r>
      <w:r w:rsidR="00597422" w:rsidRPr="004F6176">
        <w:rPr>
          <w:sz w:val="22"/>
          <w:szCs w:val="22"/>
        </w:rPr>
        <w:t xml:space="preserve">laboratorních analýz z období </w:t>
      </w:r>
      <w:r w:rsidR="008C1C0B" w:rsidRPr="004F6176">
        <w:rPr>
          <w:sz w:val="22"/>
          <w:szCs w:val="22"/>
        </w:rPr>
        <w:t>2003</w:t>
      </w:r>
      <w:r w:rsidR="00EC638F" w:rsidRPr="004F6176">
        <w:rPr>
          <w:sz w:val="22"/>
          <w:szCs w:val="22"/>
        </w:rPr>
        <w:t>–</w:t>
      </w:r>
      <w:r w:rsidR="008C1C0B" w:rsidRPr="004F6176">
        <w:rPr>
          <w:sz w:val="22"/>
          <w:szCs w:val="22"/>
        </w:rPr>
        <w:t>20</w:t>
      </w:r>
      <w:r w:rsidR="00EC638F" w:rsidRPr="004F6176">
        <w:rPr>
          <w:sz w:val="22"/>
          <w:szCs w:val="22"/>
        </w:rPr>
        <w:t>1</w:t>
      </w:r>
      <w:r w:rsidR="00855AE9" w:rsidRPr="004F6176">
        <w:rPr>
          <w:sz w:val="22"/>
          <w:szCs w:val="22"/>
        </w:rPr>
        <w:t>6</w:t>
      </w:r>
      <w:r w:rsidR="0009724D" w:rsidRPr="004F6176">
        <w:rPr>
          <w:sz w:val="22"/>
          <w:szCs w:val="22"/>
        </w:rPr>
        <w:t>.</w:t>
      </w:r>
    </w:p>
    <w:p w:rsidR="00B52C36" w:rsidRPr="004F6176" w:rsidRDefault="00DD1F7F" w:rsidP="005A1133">
      <w:pPr>
        <w:pStyle w:val="Nadpis1"/>
      </w:pPr>
      <w:bookmarkStart w:id="8" w:name="_Toc176000225"/>
      <w:bookmarkStart w:id="9" w:name="_Toc187653494"/>
      <w:r w:rsidRPr="004F6176">
        <w:rPr>
          <w:rFonts w:cs="Times New Roman"/>
        </w:rPr>
        <w:br w:type="page"/>
      </w:r>
      <w:bookmarkStart w:id="10" w:name="_Toc405386066"/>
      <w:bookmarkStart w:id="11" w:name="_Toc405386145"/>
      <w:r w:rsidR="00164B3B" w:rsidRPr="004F6176">
        <w:lastRenderedPageBreak/>
        <w:t>2</w:t>
      </w:r>
      <w:r w:rsidR="001E3E21" w:rsidRPr="004F6176">
        <w:t>.</w:t>
      </w:r>
      <w:r w:rsidR="00DB2439" w:rsidRPr="004F6176">
        <w:tab/>
      </w:r>
      <w:r w:rsidR="00B52C36" w:rsidRPr="004F6176">
        <w:t>Geologické a hydrogeologické poměry</w:t>
      </w:r>
      <w:bookmarkEnd w:id="10"/>
      <w:bookmarkEnd w:id="11"/>
    </w:p>
    <w:p w:rsidR="000F4F5A" w:rsidRPr="004F6176" w:rsidRDefault="00B52C36" w:rsidP="00B52C36">
      <w:pPr>
        <w:pStyle w:val="Zkladntextodsazen"/>
        <w:ind w:firstLine="360"/>
        <w:rPr>
          <w:sz w:val="22"/>
          <w:szCs w:val="22"/>
        </w:rPr>
      </w:pPr>
      <w:r w:rsidRPr="004F6176">
        <w:rPr>
          <w:sz w:val="22"/>
          <w:szCs w:val="22"/>
        </w:rPr>
        <w:t>Z geologického hlediska spadá zájmové území do jižního okraje české křídové pánve, která je v této oblasti zastoupena stratigrafickými jednotkami cenoman (perucko-korycanské souvrství) až střední turon (jizerské souvrství).</w:t>
      </w:r>
      <w:r w:rsidR="00017A1E" w:rsidRPr="004F6176">
        <w:rPr>
          <w:sz w:val="22"/>
          <w:szCs w:val="22"/>
        </w:rPr>
        <w:t xml:space="preserve"> V severní části modelové oblasti nasedá na jizerské souvrství horniny svrchního turonu až coniaku. Perucko-korycanské souvrství je tvořeno písčitými až vápnitými sedimenty, přičemž nadložní sedimenty turonu jsou tvořeny slínovitými horninami. Mocnost křídových sedimentů </w:t>
      </w:r>
      <w:r w:rsidR="00A156DB" w:rsidRPr="004F6176">
        <w:rPr>
          <w:sz w:val="22"/>
          <w:szCs w:val="22"/>
        </w:rPr>
        <w:t>přesahuje 130 m, v případě slínovců a vápenitých jílovců jejich mocnost dosahuje minimálně 70 m.</w:t>
      </w:r>
      <w:r w:rsidR="00324B5C" w:rsidRPr="004F6176">
        <w:rPr>
          <w:sz w:val="22"/>
          <w:szCs w:val="22"/>
        </w:rPr>
        <w:t xml:space="preserve"> Svrchní část horninového prostředí tvoří kvartérní sedimenty, reprezentované sprašemi o mocnostech i přes 10 m.</w:t>
      </w:r>
      <w:r w:rsidR="00FD3468" w:rsidRPr="004F6176">
        <w:rPr>
          <w:sz w:val="22"/>
          <w:szCs w:val="22"/>
        </w:rPr>
        <w:t xml:space="preserve"> V zájmové oblasti se také lokálně vyskytují deluviofluviální a fluviální sedimenty o mocnosti až 15 m, nižší mocnosti těchto uloženin se vyskytují podél vodotečí.</w:t>
      </w:r>
      <w:r w:rsidR="00DF6042" w:rsidRPr="004F6176">
        <w:rPr>
          <w:sz w:val="22"/>
          <w:szCs w:val="22"/>
        </w:rPr>
        <w:t xml:space="preserve"> </w:t>
      </w:r>
      <w:r w:rsidR="000F4F5A" w:rsidRPr="004F6176">
        <w:rPr>
          <w:sz w:val="22"/>
          <w:szCs w:val="22"/>
        </w:rPr>
        <w:t>Modelové území je výrazně ovlivněno přítomností chrudimského zlomového pásma, které</w:t>
      </w:r>
      <w:r w:rsidR="00723552" w:rsidRPr="004F6176">
        <w:rPr>
          <w:sz w:val="22"/>
          <w:szCs w:val="22"/>
        </w:rPr>
        <w:t xml:space="preserve"> probíhá lokalitou ve směru JJV–SSZ.</w:t>
      </w:r>
    </w:p>
    <w:p w:rsidR="007C4B91" w:rsidRPr="004F6176" w:rsidRDefault="007C4B91" w:rsidP="00B52C36">
      <w:pPr>
        <w:pStyle w:val="Zkladntextodsazen"/>
        <w:ind w:firstLine="360"/>
        <w:rPr>
          <w:sz w:val="22"/>
          <w:szCs w:val="22"/>
        </w:rPr>
      </w:pPr>
      <w:r w:rsidRPr="004F6176">
        <w:rPr>
          <w:sz w:val="22"/>
          <w:szCs w:val="22"/>
        </w:rPr>
        <w:t>Zájmové území spadá do hydrogeologického rajonu 4310 – Chrudimská křída</w:t>
      </w:r>
      <w:r w:rsidR="00DE308E" w:rsidRPr="004F6176">
        <w:rPr>
          <w:sz w:val="22"/>
          <w:szCs w:val="22"/>
        </w:rPr>
        <w:t xml:space="preserve"> </w:t>
      </w:r>
      <w:r w:rsidR="00DE308E" w:rsidRPr="004F6176">
        <w:rPr>
          <w:sz w:val="22"/>
          <w:szCs w:val="22"/>
          <w:lang w:val="en-US"/>
        </w:rPr>
        <w:t>[</w:t>
      </w:r>
      <w:r w:rsidR="00DE308E" w:rsidRPr="004F6176">
        <w:rPr>
          <w:b/>
          <w:sz w:val="22"/>
          <w:szCs w:val="22"/>
          <w:lang w:val="en-US"/>
        </w:rPr>
        <w:t>10, 11</w:t>
      </w:r>
      <w:r w:rsidR="00DE308E" w:rsidRPr="004F6176">
        <w:rPr>
          <w:sz w:val="22"/>
          <w:szCs w:val="22"/>
          <w:lang w:val="en-US"/>
        </w:rPr>
        <w:t>]</w:t>
      </w:r>
      <w:r w:rsidRPr="004F6176">
        <w:rPr>
          <w:sz w:val="22"/>
          <w:szCs w:val="22"/>
        </w:rPr>
        <w:t xml:space="preserve">. V křídových sedimentech je vodohospodářsky významný pouze kolektor A, tj. podzemní voda vázaná na bazální </w:t>
      </w:r>
      <w:r w:rsidR="00113AA6" w:rsidRPr="004F6176">
        <w:rPr>
          <w:sz w:val="22"/>
          <w:szCs w:val="22"/>
        </w:rPr>
        <w:t xml:space="preserve">křídový </w:t>
      </w:r>
      <w:r w:rsidRPr="004F6176">
        <w:rPr>
          <w:sz w:val="22"/>
          <w:szCs w:val="22"/>
        </w:rPr>
        <w:t>kolektor perucko-korycanského souvrství.</w:t>
      </w:r>
      <w:r w:rsidR="00113AA6" w:rsidRPr="004F6176">
        <w:rPr>
          <w:sz w:val="22"/>
          <w:szCs w:val="22"/>
        </w:rPr>
        <w:t xml:space="preserve"> Převážně písčitý kolektor vykazuje průlinovo-puklinovou propustnost. Infiltrační oblast těchto vod je na výchozech cenomanu na okraji křídové pánve, při okraji Železných hor.</w:t>
      </w:r>
      <w:r w:rsidR="00C26C6E" w:rsidRPr="004F6176">
        <w:rPr>
          <w:sz w:val="22"/>
          <w:szCs w:val="22"/>
        </w:rPr>
        <w:t xml:space="preserve"> </w:t>
      </w:r>
      <w:r w:rsidR="002E6BB4" w:rsidRPr="004F6176">
        <w:rPr>
          <w:sz w:val="22"/>
          <w:szCs w:val="22"/>
        </w:rPr>
        <w:t xml:space="preserve">Kolektor A v oblasti vykazuje pozitivní tlakové poměry, kdy piezometrická výška přesahuje úroveň </w:t>
      </w:r>
      <w:r w:rsidR="000B0783" w:rsidRPr="004F6176">
        <w:rPr>
          <w:sz w:val="22"/>
          <w:szCs w:val="22"/>
        </w:rPr>
        <w:t>kontaminovaného kolektoru</w:t>
      </w:r>
      <w:r w:rsidR="002E6BB4" w:rsidRPr="004F6176">
        <w:rPr>
          <w:sz w:val="22"/>
          <w:szCs w:val="22"/>
        </w:rPr>
        <w:t xml:space="preserve">, jak je tomu např. u hydrogeologického objektu </w:t>
      </w:r>
      <w:r w:rsidR="000B0783" w:rsidRPr="004F6176">
        <w:rPr>
          <w:sz w:val="22"/>
          <w:szCs w:val="22"/>
        </w:rPr>
        <w:t>ART-1</w:t>
      </w:r>
      <w:r w:rsidR="002E6BB4" w:rsidRPr="004F6176">
        <w:rPr>
          <w:sz w:val="22"/>
          <w:szCs w:val="22"/>
        </w:rPr>
        <w:t xml:space="preserve">. </w:t>
      </w:r>
      <w:r w:rsidR="00C26C6E" w:rsidRPr="004F6176">
        <w:rPr>
          <w:sz w:val="22"/>
          <w:szCs w:val="22"/>
        </w:rPr>
        <w:t>K drenáži podzemních vod kolektoru A dochází přes tektonické pukliny do turonu a dále přes kvartérní sedimenty do místních vodotečí.</w:t>
      </w:r>
      <w:r w:rsidR="000F4638" w:rsidRPr="004F6176">
        <w:rPr>
          <w:sz w:val="22"/>
          <w:szCs w:val="22"/>
        </w:rPr>
        <w:t xml:space="preserve"> Tyto výrony se ve vyšší míře uskutečňují v oblasti zlomového pásma.</w:t>
      </w:r>
      <w:r w:rsidR="006A1CFA" w:rsidRPr="004F6176">
        <w:rPr>
          <w:sz w:val="22"/>
          <w:szCs w:val="22"/>
        </w:rPr>
        <w:t xml:space="preserve"> Slínovce a jílovce spodního až středního turonu představují regionální izolátor</w:t>
      </w:r>
      <w:r w:rsidR="009171C4" w:rsidRPr="004F6176">
        <w:rPr>
          <w:sz w:val="22"/>
          <w:szCs w:val="22"/>
        </w:rPr>
        <w:t>, který je však místy značně tektonicky porušen</w:t>
      </w:r>
      <w:r w:rsidR="006A1CFA" w:rsidRPr="004F6176">
        <w:rPr>
          <w:sz w:val="22"/>
          <w:szCs w:val="22"/>
        </w:rPr>
        <w:t xml:space="preserve">. Ve svrchní části </w:t>
      </w:r>
      <w:r w:rsidR="00550CC2" w:rsidRPr="004F6176">
        <w:rPr>
          <w:sz w:val="22"/>
          <w:szCs w:val="22"/>
        </w:rPr>
        <w:t>sedimentů turonu</w:t>
      </w:r>
      <w:r w:rsidR="006A1CFA" w:rsidRPr="004F6176">
        <w:rPr>
          <w:sz w:val="22"/>
          <w:szCs w:val="22"/>
        </w:rPr>
        <w:t xml:space="preserve"> se nachází zóna rozvolnění sedimentů pelitického charakteru</w:t>
      </w:r>
      <w:r w:rsidR="00D842E1" w:rsidRPr="004F6176">
        <w:rPr>
          <w:sz w:val="22"/>
          <w:szCs w:val="22"/>
        </w:rPr>
        <w:t>, na n</w:t>
      </w:r>
      <w:r w:rsidR="007D1E52" w:rsidRPr="004F6176">
        <w:rPr>
          <w:sz w:val="22"/>
          <w:szCs w:val="22"/>
        </w:rPr>
        <w:t>í</w:t>
      </w:r>
      <w:r w:rsidR="00D842E1" w:rsidRPr="004F6176">
        <w:rPr>
          <w:sz w:val="22"/>
          <w:szCs w:val="22"/>
        </w:rPr>
        <w:t xml:space="preserve">ž </w:t>
      </w:r>
      <w:r w:rsidR="006A1CFA" w:rsidRPr="004F6176">
        <w:rPr>
          <w:sz w:val="22"/>
          <w:szCs w:val="22"/>
        </w:rPr>
        <w:t xml:space="preserve">je vázán </w:t>
      </w:r>
      <w:r w:rsidR="00CD2BEB" w:rsidRPr="004F6176">
        <w:rPr>
          <w:sz w:val="22"/>
          <w:szCs w:val="22"/>
        </w:rPr>
        <w:t xml:space="preserve">zájmový </w:t>
      </w:r>
      <w:r w:rsidR="00550CC2" w:rsidRPr="004F6176">
        <w:rPr>
          <w:sz w:val="22"/>
          <w:szCs w:val="22"/>
        </w:rPr>
        <w:t xml:space="preserve">ohrožený </w:t>
      </w:r>
      <w:r w:rsidR="006A1CFA" w:rsidRPr="004F6176">
        <w:rPr>
          <w:sz w:val="22"/>
          <w:szCs w:val="22"/>
        </w:rPr>
        <w:t>kolektor</w:t>
      </w:r>
      <w:r w:rsidR="00CD2BEB" w:rsidRPr="004F6176">
        <w:rPr>
          <w:sz w:val="22"/>
          <w:szCs w:val="22"/>
        </w:rPr>
        <w:t>. Tato zóna zvodnění je místy izolována při stropu křídových sedimentů eluviem jílovitého charakteru, avšak právě místa (nový závod), kde tato těsnící vrstva není v dostatečné mocnosti, jsou výrazně ohrožena proniknutím kontaminace do turonské zvodně.</w:t>
      </w:r>
      <w:r w:rsidR="005267F3" w:rsidRPr="004F6176">
        <w:rPr>
          <w:sz w:val="22"/>
          <w:szCs w:val="22"/>
        </w:rPr>
        <w:t xml:space="preserve"> Kvartérní spraše nejsou z hydrogeologického hlediska významné. Naopak významné jsou deluviofluviální a fluviální sedimenty, které se nacházejí mezi novým závodem a Medlešicemi, a dosahují mocnosti až 15 m.</w:t>
      </w:r>
      <w:r w:rsidR="0019562B" w:rsidRPr="004F6176">
        <w:rPr>
          <w:sz w:val="22"/>
          <w:szCs w:val="22"/>
        </w:rPr>
        <w:t xml:space="preserve"> Významné zvodnění v kvartérních sedimentech se také vyskytuje podél větších vodotečí a ve</w:t>
      </w:r>
      <w:r w:rsidR="007A4DD7" w:rsidRPr="004F6176">
        <w:rPr>
          <w:sz w:val="22"/>
          <w:szCs w:val="22"/>
        </w:rPr>
        <w:t> </w:t>
      </w:r>
      <w:r w:rsidR="0019562B" w:rsidRPr="004F6176">
        <w:rPr>
          <w:sz w:val="22"/>
          <w:szCs w:val="22"/>
        </w:rPr>
        <w:t>štěrkopískových akumulacích, zejména terase Chrudimky.</w:t>
      </w:r>
    </w:p>
    <w:p w:rsidR="002E6BB4" w:rsidRPr="004F6176" w:rsidRDefault="002E6BB4" w:rsidP="00B52C36">
      <w:pPr>
        <w:pStyle w:val="Zkladntextodsazen"/>
        <w:ind w:firstLine="360"/>
        <w:rPr>
          <w:sz w:val="22"/>
          <w:szCs w:val="22"/>
        </w:rPr>
      </w:pPr>
    </w:p>
    <w:p w:rsidR="008051E5" w:rsidRPr="004F6176" w:rsidRDefault="005A1133" w:rsidP="005A1133">
      <w:pPr>
        <w:pStyle w:val="Nadpis1"/>
      </w:pPr>
      <w:bookmarkStart w:id="12" w:name="_Toc405386067"/>
      <w:bookmarkStart w:id="13" w:name="_Toc405386146"/>
      <w:r w:rsidRPr="004F6176">
        <w:rPr>
          <w:szCs w:val="22"/>
        </w:rPr>
        <w:t>3</w:t>
      </w:r>
      <w:r w:rsidR="001E3E21" w:rsidRPr="004F6176">
        <w:rPr>
          <w:szCs w:val="22"/>
        </w:rPr>
        <w:t>.</w:t>
      </w:r>
      <w:r w:rsidR="00B52C36" w:rsidRPr="004F6176">
        <w:rPr>
          <w:szCs w:val="22"/>
        </w:rPr>
        <w:tab/>
      </w:r>
      <w:r w:rsidR="008051E5" w:rsidRPr="004F6176">
        <w:t>Geometrie modelových oblastí a vstupní data</w:t>
      </w:r>
      <w:bookmarkEnd w:id="8"/>
      <w:bookmarkEnd w:id="9"/>
      <w:bookmarkEnd w:id="12"/>
      <w:bookmarkEnd w:id="13"/>
    </w:p>
    <w:p w:rsidR="008051E5" w:rsidRPr="004F6176" w:rsidRDefault="005A1133" w:rsidP="005A1133">
      <w:pPr>
        <w:pStyle w:val="Nadpis2"/>
        <w:numPr>
          <w:ilvl w:val="0"/>
          <w:numId w:val="0"/>
        </w:numPr>
      </w:pPr>
      <w:bookmarkStart w:id="14" w:name="_Toc176000226"/>
      <w:bookmarkStart w:id="15" w:name="_Toc187653495"/>
      <w:bookmarkStart w:id="16" w:name="_Toc405386068"/>
      <w:bookmarkStart w:id="17" w:name="_Toc405386147"/>
      <w:r w:rsidRPr="004F6176">
        <w:t>3.1</w:t>
      </w:r>
      <w:r w:rsidR="00DB2439" w:rsidRPr="004F6176">
        <w:tab/>
      </w:r>
      <w:r w:rsidR="008051E5" w:rsidRPr="004F6176">
        <w:t>Geometrie modelových oblastí</w:t>
      </w:r>
      <w:bookmarkEnd w:id="14"/>
      <w:bookmarkEnd w:id="15"/>
      <w:bookmarkEnd w:id="16"/>
      <w:bookmarkEnd w:id="17"/>
      <w:r w:rsidR="008051E5" w:rsidRPr="004F6176">
        <w:t xml:space="preserve"> </w:t>
      </w:r>
    </w:p>
    <w:p w:rsidR="00292818" w:rsidRPr="004F6176" w:rsidRDefault="00292818" w:rsidP="001B50DE">
      <w:pPr>
        <w:pStyle w:val="Nadpis3"/>
        <w:numPr>
          <w:ilvl w:val="0"/>
          <w:numId w:val="0"/>
        </w:numPr>
      </w:pPr>
      <w:bookmarkStart w:id="18" w:name="_Toc405386069"/>
      <w:bookmarkStart w:id="19" w:name="_Toc405386148"/>
      <w:r w:rsidRPr="004F6176">
        <w:t>3.1.1</w:t>
      </w:r>
      <w:r w:rsidRPr="004F6176">
        <w:tab/>
        <w:t xml:space="preserve">Vývoj tlakové úrovně křídových kolektorů z hlediska </w:t>
      </w:r>
      <w:r w:rsidR="00E772C8" w:rsidRPr="004F6176">
        <w:t>zranitelnosti podzemní vody</w:t>
      </w:r>
      <w:bookmarkEnd w:id="18"/>
      <w:bookmarkEnd w:id="19"/>
    </w:p>
    <w:p w:rsidR="00550CC2" w:rsidRPr="004F6176" w:rsidRDefault="00584FD9" w:rsidP="00C86B3B">
      <w:pPr>
        <w:pStyle w:val="Zkladntextodsazen"/>
        <w:ind w:firstLine="360"/>
        <w:rPr>
          <w:sz w:val="22"/>
          <w:szCs w:val="22"/>
        </w:rPr>
      </w:pPr>
      <w:r w:rsidRPr="004F6176">
        <w:rPr>
          <w:sz w:val="22"/>
          <w:szCs w:val="22"/>
        </w:rPr>
        <w:t xml:space="preserve">Z hlediska ohrožení </w:t>
      </w:r>
      <w:r w:rsidR="00550CC2" w:rsidRPr="004F6176">
        <w:rPr>
          <w:sz w:val="22"/>
          <w:szCs w:val="22"/>
        </w:rPr>
        <w:t xml:space="preserve">kontaminace </w:t>
      </w:r>
      <w:r w:rsidRPr="004F6176">
        <w:rPr>
          <w:sz w:val="22"/>
          <w:szCs w:val="22"/>
        </w:rPr>
        <w:t xml:space="preserve">podzemní vody </w:t>
      </w:r>
      <w:r w:rsidR="00550CC2" w:rsidRPr="004F6176">
        <w:rPr>
          <w:sz w:val="22"/>
          <w:szCs w:val="22"/>
        </w:rPr>
        <w:t xml:space="preserve">chlorovanými uhlovodíky z areálu bývalého podniku Transporta </w:t>
      </w:r>
      <w:r w:rsidRPr="004F6176">
        <w:rPr>
          <w:sz w:val="22"/>
          <w:szCs w:val="22"/>
        </w:rPr>
        <w:t>připadá v úvahu pouze svrchní kolektor</w:t>
      </w:r>
      <w:r w:rsidR="00550CC2" w:rsidRPr="004F6176">
        <w:rPr>
          <w:sz w:val="22"/>
          <w:szCs w:val="22"/>
        </w:rPr>
        <w:t xml:space="preserve"> vázaný na zónu rozvolněných </w:t>
      </w:r>
      <w:r w:rsidR="001B50DE" w:rsidRPr="004F6176">
        <w:rPr>
          <w:sz w:val="22"/>
          <w:szCs w:val="22"/>
        </w:rPr>
        <w:t xml:space="preserve">křídových </w:t>
      </w:r>
      <w:r w:rsidR="00550CC2" w:rsidRPr="004F6176">
        <w:rPr>
          <w:sz w:val="22"/>
          <w:szCs w:val="22"/>
        </w:rPr>
        <w:t xml:space="preserve">sedimentů a </w:t>
      </w:r>
      <w:r w:rsidR="001B50DE" w:rsidRPr="004F6176">
        <w:rPr>
          <w:sz w:val="22"/>
          <w:szCs w:val="22"/>
        </w:rPr>
        <w:t>bazální části kvartérního pokryvu</w:t>
      </w:r>
      <w:r w:rsidRPr="004F6176">
        <w:rPr>
          <w:sz w:val="22"/>
          <w:szCs w:val="22"/>
        </w:rPr>
        <w:t>.</w:t>
      </w:r>
    </w:p>
    <w:p w:rsidR="00FD0DD6" w:rsidRPr="004F6176" w:rsidRDefault="00550CC2" w:rsidP="00C86B3B">
      <w:pPr>
        <w:pStyle w:val="Zkladntextodsazen"/>
        <w:ind w:firstLine="360"/>
        <w:rPr>
          <w:sz w:val="22"/>
          <w:szCs w:val="22"/>
        </w:rPr>
      </w:pPr>
      <w:r w:rsidRPr="004F6176">
        <w:rPr>
          <w:sz w:val="22"/>
          <w:szCs w:val="22"/>
        </w:rPr>
        <w:t xml:space="preserve">Potenciálně ohrožený bazální kolektor (A - cenoman) </w:t>
      </w:r>
      <w:r w:rsidR="00BF25FD" w:rsidRPr="004F6176">
        <w:rPr>
          <w:sz w:val="22"/>
          <w:szCs w:val="22"/>
        </w:rPr>
        <w:t>v</w:t>
      </w:r>
      <w:r w:rsidRPr="004F6176">
        <w:rPr>
          <w:sz w:val="22"/>
          <w:szCs w:val="22"/>
        </w:rPr>
        <w:t xml:space="preserve"> dlouhodobé</w:t>
      </w:r>
      <w:r w:rsidR="00BF25FD" w:rsidRPr="004F6176">
        <w:rPr>
          <w:sz w:val="22"/>
          <w:szCs w:val="22"/>
        </w:rPr>
        <w:t>m</w:t>
      </w:r>
      <w:r w:rsidRPr="004F6176">
        <w:rPr>
          <w:sz w:val="22"/>
          <w:szCs w:val="22"/>
        </w:rPr>
        <w:t xml:space="preserve"> sledování </w:t>
      </w:r>
      <w:r w:rsidR="00BF25FD" w:rsidRPr="004F6176">
        <w:rPr>
          <w:sz w:val="22"/>
          <w:szCs w:val="22"/>
        </w:rPr>
        <w:t xml:space="preserve">jednak </w:t>
      </w:r>
      <w:r w:rsidRPr="004F6176">
        <w:rPr>
          <w:sz w:val="22"/>
          <w:szCs w:val="22"/>
        </w:rPr>
        <w:t xml:space="preserve">nevykazuje stopy kontaminace, navíc </w:t>
      </w:r>
      <w:r w:rsidR="00BF25FD" w:rsidRPr="004F6176">
        <w:rPr>
          <w:sz w:val="22"/>
          <w:szCs w:val="22"/>
        </w:rPr>
        <w:t xml:space="preserve">však </w:t>
      </w:r>
      <w:r w:rsidRPr="004F6176">
        <w:rPr>
          <w:sz w:val="22"/>
          <w:szCs w:val="22"/>
        </w:rPr>
        <w:t xml:space="preserve">tlakové poměry ukazují na </w:t>
      </w:r>
      <w:r w:rsidR="00BF25FD" w:rsidRPr="004F6176">
        <w:rPr>
          <w:sz w:val="22"/>
          <w:szCs w:val="22"/>
        </w:rPr>
        <w:t xml:space="preserve">vyšší </w:t>
      </w:r>
      <w:r w:rsidRPr="004F6176">
        <w:rPr>
          <w:sz w:val="22"/>
          <w:szCs w:val="22"/>
        </w:rPr>
        <w:t xml:space="preserve">výtlačnou úroveň cenomanské zvodně nad úrovní turonské/kvartérní. </w:t>
      </w:r>
      <w:r w:rsidR="00BF25FD" w:rsidRPr="004F6176">
        <w:rPr>
          <w:sz w:val="22"/>
          <w:szCs w:val="22"/>
        </w:rPr>
        <w:t xml:space="preserve">Tato skutečnost je dokumentována vrtem </w:t>
      </w:r>
      <w:r w:rsidR="00584FD9" w:rsidRPr="004F6176">
        <w:rPr>
          <w:sz w:val="22"/>
          <w:szCs w:val="22"/>
        </w:rPr>
        <w:t>ART-1</w:t>
      </w:r>
      <w:r w:rsidR="00BF25FD" w:rsidRPr="004F6176">
        <w:rPr>
          <w:sz w:val="22"/>
          <w:szCs w:val="22"/>
        </w:rPr>
        <w:t>, který se nachází v areálu Transporty a který jímá cenomanský kolektor ve srovnání s okolními režimně sledovanými hydrogeologickými objekty.</w:t>
      </w:r>
    </w:p>
    <w:p w:rsidR="00F34A51" w:rsidRPr="004F6176" w:rsidRDefault="00BF25FD" w:rsidP="00C86B3B">
      <w:pPr>
        <w:pStyle w:val="Zkladntextodsazen"/>
        <w:ind w:firstLine="360"/>
        <w:rPr>
          <w:sz w:val="22"/>
          <w:szCs w:val="22"/>
        </w:rPr>
      </w:pPr>
      <w:r w:rsidRPr="004F6176">
        <w:rPr>
          <w:sz w:val="22"/>
          <w:szCs w:val="22"/>
        </w:rPr>
        <w:t>Objekt T-24 (</w:t>
      </w:r>
      <w:r w:rsidR="00FD0DD6" w:rsidRPr="004F6176">
        <w:rPr>
          <w:sz w:val="22"/>
          <w:szCs w:val="22"/>
        </w:rPr>
        <w:t xml:space="preserve">turonský kolektor; </w:t>
      </w:r>
      <w:r w:rsidRPr="004F6176">
        <w:rPr>
          <w:sz w:val="22"/>
          <w:szCs w:val="22"/>
        </w:rPr>
        <w:t>havarijní stav od května 2013, kdy došlo v</w:t>
      </w:r>
      <w:r w:rsidR="00FD0DD6" w:rsidRPr="004F6176">
        <w:rPr>
          <w:sz w:val="22"/>
          <w:szCs w:val="22"/>
        </w:rPr>
        <w:t> </w:t>
      </w:r>
      <w:r w:rsidRPr="004F6176">
        <w:rPr>
          <w:sz w:val="22"/>
          <w:szCs w:val="22"/>
        </w:rPr>
        <w:t>rámci sanačních prací k</w:t>
      </w:r>
      <w:r w:rsidR="00FD0DD6" w:rsidRPr="004F6176">
        <w:rPr>
          <w:sz w:val="22"/>
          <w:szCs w:val="22"/>
        </w:rPr>
        <w:t>e</w:t>
      </w:r>
      <w:r w:rsidRPr="004F6176">
        <w:rPr>
          <w:sz w:val="22"/>
          <w:szCs w:val="22"/>
        </w:rPr>
        <w:t xml:space="preserve"> </w:t>
      </w:r>
      <w:r w:rsidR="00FD0DD6" w:rsidRPr="004F6176">
        <w:rPr>
          <w:sz w:val="22"/>
          <w:szCs w:val="22"/>
        </w:rPr>
        <w:t>zhroucení vrtu</w:t>
      </w:r>
      <w:r w:rsidRPr="004F6176">
        <w:rPr>
          <w:sz w:val="22"/>
          <w:szCs w:val="22"/>
        </w:rPr>
        <w:t>; poslední měřené hodnoty z dubna 2013) se nacházel cca 33 m od vrtu ART-1</w:t>
      </w:r>
      <w:r w:rsidR="00BF204F" w:rsidRPr="004F6176">
        <w:rPr>
          <w:sz w:val="22"/>
          <w:szCs w:val="22"/>
        </w:rPr>
        <w:t xml:space="preserve"> (cenomanský kolektor)</w:t>
      </w:r>
      <w:r w:rsidR="00DB0EAA" w:rsidRPr="004F6176">
        <w:rPr>
          <w:sz w:val="22"/>
          <w:szCs w:val="22"/>
        </w:rPr>
        <w:t>.</w:t>
      </w:r>
    </w:p>
    <w:p w:rsidR="00BF25FD" w:rsidRPr="004F6176" w:rsidRDefault="00F34A51" w:rsidP="00C86B3B">
      <w:pPr>
        <w:pStyle w:val="Zkladntextodsazen"/>
        <w:ind w:firstLine="360"/>
        <w:rPr>
          <w:sz w:val="22"/>
          <w:szCs w:val="22"/>
        </w:rPr>
      </w:pPr>
      <w:r w:rsidRPr="004F6176">
        <w:rPr>
          <w:sz w:val="22"/>
          <w:szCs w:val="22"/>
        </w:rPr>
        <w:t xml:space="preserve">V roce </w:t>
      </w:r>
      <w:r w:rsidR="00C24444" w:rsidRPr="004F6176">
        <w:rPr>
          <w:sz w:val="22"/>
          <w:szCs w:val="22"/>
        </w:rPr>
        <w:t>2016</w:t>
      </w:r>
      <w:r w:rsidRPr="004F6176">
        <w:rPr>
          <w:sz w:val="22"/>
          <w:szCs w:val="22"/>
        </w:rPr>
        <w:t xml:space="preserve"> bude úroveň rozdílu tlakové úrovně cenomanského a turonského kolektoru hodnocena vrty ART-1 a T-7</w:t>
      </w:r>
      <w:r w:rsidR="00302614" w:rsidRPr="004F6176">
        <w:rPr>
          <w:sz w:val="22"/>
          <w:szCs w:val="22"/>
        </w:rPr>
        <w:t>,</w:t>
      </w:r>
      <w:r w:rsidRPr="004F6176">
        <w:rPr>
          <w:sz w:val="22"/>
          <w:szCs w:val="22"/>
        </w:rPr>
        <w:t xml:space="preserve"> který se nachází 123 m jv. od vrtu ART-1. Za období </w:t>
      </w:r>
      <w:r w:rsidR="00C24444" w:rsidRPr="004F6176">
        <w:rPr>
          <w:sz w:val="22"/>
          <w:szCs w:val="22"/>
        </w:rPr>
        <w:t>duben</w:t>
      </w:r>
      <w:r w:rsidR="0093549A" w:rsidRPr="004F6176">
        <w:rPr>
          <w:sz w:val="22"/>
          <w:szCs w:val="22"/>
        </w:rPr>
        <w:t xml:space="preserve"> až červen</w:t>
      </w:r>
      <w:r w:rsidRPr="004F6176">
        <w:rPr>
          <w:sz w:val="22"/>
          <w:szCs w:val="22"/>
        </w:rPr>
        <w:t xml:space="preserve"> 201</w:t>
      </w:r>
      <w:r w:rsidR="0093549A" w:rsidRPr="004F6176">
        <w:rPr>
          <w:sz w:val="22"/>
          <w:szCs w:val="22"/>
        </w:rPr>
        <w:t>6</w:t>
      </w:r>
      <w:r w:rsidRPr="004F6176">
        <w:rPr>
          <w:sz w:val="22"/>
          <w:szCs w:val="22"/>
        </w:rPr>
        <w:t xml:space="preserve"> vykazoval kolektor cenomanu </w:t>
      </w:r>
      <w:r w:rsidR="00302614" w:rsidRPr="004F6176">
        <w:rPr>
          <w:sz w:val="22"/>
          <w:szCs w:val="22"/>
        </w:rPr>
        <w:t xml:space="preserve">výtlačnou </w:t>
      </w:r>
      <w:r w:rsidRPr="004F6176">
        <w:rPr>
          <w:sz w:val="22"/>
          <w:szCs w:val="22"/>
        </w:rPr>
        <w:t>úroveň převyšující turons</w:t>
      </w:r>
      <w:r w:rsidR="0093549A" w:rsidRPr="004F6176">
        <w:rPr>
          <w:sz w:val="22"/>
          <w:szCs w:val="22"/>
        </w:rPr>
        <w:t>kou zvodeň (T-7) průměrně o +4,00</w:t>
      </w:r>
      <w:r w:rsidRPr="004F6176">
        <w:rPr>
          <w:sz w:val="22"/>
          <w:szCs w:val="22"/>
        </w:rPr>
        <w:t xml:space="preserve"> m, přičemž </w:t>
      </w:r>
      <w:r w:rsidRPr="004F6176">
        <w:rPr>
          <w:sz w:val="22"/>
          <w:szCs w:val="22"/>
        </w:rPr>
        <w:lastRenderedPageBreak/>
        <w:t>nejmenší rozd</w:t>
      </w:r>
      <w:r w:rsidR="00AA3549" w:rsidRPr="004F6176">
        <w:rPr>
          <w:sz w:val="22"/>
          <w:szCs w:val="22"/>
        </w:rPr>
        <w:t>íl činil +3,5 m a největší +4,4</w:t>
      </w:r>
      <w:r w:rsidRPr="004F6176">
        <w:rPr>
          <w:sz w:val="22"/>
          <w:szCs w:val="22"/>
        </w:rPr>
        <w:t xml:space="preserve"> m</w:t>
      </w:r>
      <w:r w:rsidR="00BF204F" w:rsidRPr="004F6176">
        <w:rPr>
          <w:sz w:val="22"/>
          <w:szCs w:val="22"/>
        </w:rPr>
        <w:t>. Vývoj rozdílů průměrných tlakových úrovní v těchto objektech za období 2004–201</w:t>
      </w:r>
      <w:r w:rsidR="0093549A" w:rsidRPr="004F6176">
        <w:rPr>
          <w:sz w:val="22"/>
          <w:szCs w:val="22"/>
        </w:rPr>
        <w:t>6</w:t>
      </w:r>
      <w:r w:rsidR="00BF204F" w:rsidRPr="004F6176">
        <w:rPr>
          <w:sz w:val="22"/>
          <w:szCs w:val="22"/>
        </w:rPr>
        <w:t xml:space="preserve"> popisuje tabulka uvedená níže.</w:t>
      </w:r>
    </w:p>
    <w:p w:rsidR="00BF204F" w:rsidRPr="004F6176" w:rsidRDefault="00BF204F" w:rsidP="00C86B3B">
      <w:pPr>
        <w:pStyle w:val="Zkladntextodsazen"/>
        <w:ind w:firstLine="360"/>
        <w:rPr>
          <w:sz w:val="22"/>
          <w:szCs w:val="22"/>
        </w:rPr>
      </w:pPr>
    </w:p>
    <w:p w:rsidR="00FD0DD6" w:rsidRPr="004F6176" w:rsidRDefault="00FD0DD6" w:rsidP="00FD0DD6">
      <w:pPr>
        <w:pStyle w:val="Zkladntextodsazen"/>
        <w:spacing w:after="60"/>
        <w:ind w:firstLine="0"/>
        <w:jc w:val="center"/>
        <w:rPr>
          <w:i/>
          <w:iCs/>
          <w:sz w:val="20"/>
          <w:u w:val="single"/>
        </w:rPr>
      </w:pPr>
      <w:r w:rsidRPr="004F6176">
        <w:rPr>
          <w:i/>
          <w:iCs/>
          <w:sz w:val="20"/>
          <w:u w:val="single"/>
        </w:rPr>
        <w:t>Tab. č. 1:     Výtlačná úroveň podzemní vody z vrtu ART-1 (cenoman) nad T-</w:t>
      </w:r>
      <w:r w:rsidR="00FE13C8" w:rsidRPr="004F6176">
        <w:rPr>
          <w:i/>
          <w:iCs/>
          <w:sz w:val="20"/>
          <w:u w:val="single"/>
        </w:rPr>
        <w:t>7</w:t>
      </w:r>
      <w:r w:rsidRPr="004F6176">
        <w:rPr>
          <w:i/>
          <w:iCs/>
          <w:sz w:val="20"/>
          <w:u w:val="single"/>
        </w:rPr>
        <w:t xml:space="preserve"> (turon)</w:t>
      </w:r>
    </w:p>
    <w:tbl>
      <w:tblPr>
        <w:tblW w:w="43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2440"/>
      </w:tblGrid>
      <w:tr w:rsidR="00FD0DD6" w:rsidRPr="004F6176" w:rsidTr="00292818">
        <w:trPr>
          <w:trHeight w:val="510"/>
          <w:tblHeader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FD0DD6" w:rsidRPr="004F6176" w:rsidRDefault="00FD0DD6" w:rsidP="00FD0DD6">
            <w:pPr>
              <w:jc w:val="center"/>
              <w:rPr>
                <w:b/>
                <w:bCs/>
                <w:sz w:val="20"/>
                <w:szCs w:val="20"/>
              </w:rPr>
            </w:pPr>
            <w:r w:rsidRPr="004F6176">
              <w:rPr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F204F" w:rsidRPr="004F6176" w:rsidRDefault="00BF204F" w:rsidP="00BF204F">
            <w:pPr>
              <w:jc w:val="center"/>
              <w:rPr>
                <w:b/>
                <w:bCs/>
                <w:sz w:val="20"/>
                <w:szCs w:val="20"/>
              </w:rPr>
            </w:pPr>
            <w:r w:rsidRPr="004F6176">
              <w:rPr>
                <w:b/>
                <w:bCs/>
                <w:sz w:val="20"/>
                <w:szCs w:val="20"/>
              </w:rPr>
              <w:t xml:space="preserve">počet měsíců měření </w:t>
            </w:r>
          </w:p>
          <w:p w:rsidR="00FD0DD6" w:rsidRPr="004F6176" w:rsidRDefault="00BF204F" w:rsidP="00BF204F">
            <w:pPr>
              <w:jc w:val="center"/>
              <w:rPr>
                <w:b/>
                <w:bCs/>
                <w:sz w:val="20"/>
                <w:szCs w:val="20"/>
              </w:rPr>
            </w:pPr>
            <w:r w:rsidRPr="004F6176">
              <w:rPr>
                <w:b/>
                <w:bCs/>
                <w:sz w:val="20"/>
                <w:szCs w:val="20"/>
              </w:rPr>
              <w:t>v roce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D0DD6" w:rsidRPr="004F6176" w:rsidRDefault="00FD0DD6" w:rsidP="00F34A51">
            <w:pPr>
              <w:jc w:val="center"/>
              <w:rPr>
                <w:b/>
                <w:bCs/>
                <w:sz w:val="20"/>
                <w:szCs w:val="20"/>
              </w:rPr>
            </w:pPr>
            <w:r w:rsidRPr="004F6176">
              <w:rPr>
                <w:b/>
                <w:bCs/>
                <w:sz w:val="20"/>
                <w:szCs w:val="20"/>
              </w:rPr>
              <w:t>výtlačná úroveň ART-1 nad objekt T-</w:t>
            </w:r>
            <w:r w:rsidR="00F34A51" w:rsidRPr="004F6176">
              <w:rPr>
                <w:b/>
                <w:bCs/>
                <w:sz w:val="20"/>
                <w:szCs w:val="20"/>
              </w:rPr>
              <w:t>7</w:t>
            </w:r>
            <w:r w:rsidRPr="004F6176">
              <w:rPr>
                <w:b/>
                <w:bCs/>
                <w:sz w:val="20"/>
                <w:szCs w:val="20"/>
              </w:rPr>
              <w:t xml:space="preserve"> [m]</w:t>
            </w:r>
          </w:p>
        </w:tc>
      </w:tr>
      <w:tr w:rsidR="00292818" w:rsidRPr="004F6176" w:rsidTr="00FD0DD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818" w:rsidRPr="004F6176" w:rsidRDefault="00292818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818" w:rsidRPr="004F6176" w:rsidRDefault="00292818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818" w:rsidRPr="004F6176" w:rsidRDefault="00292818" w:rsidP="00FE13C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+</w:t>
            </w:r>
            <w:r w:rsidR="00FE13C8" w:rsidRPr="004F6176">
              <w:rPr>
                <w:color w:val="000000"/>
                <w:sz w:val="20"/>
                <w:szCs w:val="20"/>
              </w:rPr>
              <w:t>0,76</w:t>
            </w:r>
          </w:p>
        </w:tc>
      </w:tr>
      <w:tr w:rsidR="00BF204F" w:rsidRPr="004F6176" w:rsidTr="00FD0DD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04F" w:rsidRPr="004F6176" w:rsidRDefault="00292818" w:rsidP="0029281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04F" w:rsidRPr="004F6176" w:rsidRDefault="00292818" w:rsidP="00FE13C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1</w:t>
            </w:r>
            <w:r w:rsidR="00FE13C8" w:rsidRPr="004F6176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04F" w:rsidRPr="004F6176" w:rsidRDefault="00292818" w:rsidP="00FE13C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+</w:t>
            </w:r>
            <w:r w:rsidR="00FE13C8" w:rsidRPr="004F6176">
              <w:rPr>
                <w:color w:val="000000"/>
                <w:sz w:val="20"/>
                <w:szCs w:val="20"/>
              </w:rPr>
              <w:t>1,19</w:t>
            </w:r>
          </w:p>
        </w:tc>
      </w:tr>
      <w:tr w:rsidR="00BF204F" w:rsidRPr="004F6176" w:rsidTr="00FD0DD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04F" w:rsidRPr="004F6176" w:rsidRDefault="00292818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04F" w:rsidRPr="004F6176" w:rsidRDefault="00292818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04F" w:rsidRPr="004F6176" w:rsidRDefault="00292818" w:rsidP="00FE13C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+</w:t>
            </w:r>
            <w:r w:rsidR="00FE13C8" w:rsidRPr="004F6176">
              <w:rPr>
                <w:color w:val="000000"/>
                <w:sz w:val="20"/>
                <w:szCs w:val="20"/>
              </w:rPr>
              <w:t>3,63</w:t>
            </w:r>
          </w:p>
        </w:tc>
      </w:tr>
      <w:tr w:rsidR="00FD0DD6" w:rsidRPr="004F6176" w:rsidTr="00FD0DD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D0DD6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D0DD6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D0DD6" w:rsidP="00FE13C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+</w:t>
            </w:r>
            <w:r w:rsidR="00FE13C8" w:rsidRPr="004F6176">
              <w:rPr>
                <w:color w:val="000000"/>
                <w:sz w:val="20"/>
                <w:szCs w:val="20"/>
              </w:rPr>
              <w:t>4,38</w:t>
            </w:r>
          </w:p>
        </w:tc>
      </w:tr>
      <w:tr w:rsidR="00FD0DD6" w:rsidRPr="004F6176" w:rsidTr="00FD0DD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D0DD6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D0DD6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D0DD6" w:rsidP="00FE13C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+</w:t>
            </w:r>
            <w:r w:rsidR="00FE13C8" w:rsidRPr="004F6176">
              <w:rPr>
                <w:color w:val="000000"/>
                <w:sz w:val="20"/>
                <w:szCs w:val="20"/>
              </w:rPr>
              <w:t>4,62</w:t>
            </w:r>
          </w:p>
        </w:tc>
      </w:tr>
      <w:tr w:rsidR="00FD0DD6" w:rsidRPr="004F6176" w:rsidTr="00FD0DD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D0DD6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2009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E13C8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D0DD6" w:rsidP="00FE13C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+</w:t>
            </w:r>
            <w:r w:rsidR="00FE13C8" w:rsidRPr="004F6176">
              <w:rPr>
                <w:color w:val="000000"/>
                <w:sz w:val="20"/>
                <w:szCs w:val="20"/>
              </w:rPr>
              <w:t>4,27</w:t>
            </w:r>
          </w:p>
        </w:tc>
      </w:tr>
      <w:tr w:rsidR="00FD0DD6" w:rsidRPr="004F6176" w:rsidTr="00FD0DD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D0DD6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D0DD6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D0DD6" w:rsidP="00FE13C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+</w:t>
            </w:r>
            <w:r w:rsidR="00FE13C8" w:rsidRPr="004F6176">
              <w:rPr>
                <w:color w:val="000000"/>
                <w:sz w:val="20"/>
                <w:szCs w:val="20"/>
              </w:rPr>
              <w:t>3,36</w:t>
            </w:r>
          </w:p>
        </w:tc>
      </w:tr>
      <w:tr w:rsidR="00FD0DD6" w:rsidRPr="004F6176" w:rsidTr="00FD0DD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D0DD6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E13C8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D0DD6" w:rsidP="00FE13C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+</w:t>
            </w:r>
            <w:r w:rsidR="00FE13C8" w:rsidRPr="004F6176">
              <w:rPr>
                <w:color w:val="000000"/>
                <w:sz w:val="20"/>
                <w:szCs w:val="20"/>
              </w:rPr>
              <w:t>2,97</w:t>
            </w:r>
          </w:p>
        </w:tc>
      </w:tr>
      <w:tr w:rsidR="00FD0DD6" w:rsidRPr="004F6176" w:rsidTr="00FD0DD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D0DD6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E13C8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D0DD6" w:rsidP="00FE13C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+</w:t>
            </w:r>
            <w:r w:rsidR="00FE13C8" w:rsidRPr="004F6176">
              <w:rPr>
                <w:color w:val="000000"/>
                <w:sz w:val="20"/>
                <w:szCs w:val="20"/>
              </w:rPr>
              <w:t>2,90</w:t>
            </w:r>
          </w:p>
        </w:tc>
      </w:tr>
      <w:tr w:rsidR="00FE13C8" w:rsidRPr="004F6176" w:rsidTr="00FD0DD6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3C8" w:rsidRPr="004F6176" w:rsidRDefault="00FE13C8" w:rsidP="00FE13C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2013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3C8" w:rsidRPr="004F6176" w:rsidRDefault="00FE13C8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3C8" w:rsidRPr="004F6176" w:rsidRDefault="00FE13C8" w:rsidP="00FE13C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+2,76</w:t>
            </w:r>
          </w:p>
        </w:tc>
      </w:tr>
      <w:tr w:rsidR="00FD0DD6" w:rsidRPr="004F6176" w:rsidTr="00697EF4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D0DD6" w:rsidP="00FE13C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201</w:t>
            </w:r>
            <w:r w:rsidR="00FE13C8" w:rsidRPr="004F617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E13C8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0DD6" w:rsidRPr="004F6176" w:rsidRDefault="00FD0DD6" w:rsidP="00FE13C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+</w:t>
            </w:r>
            <w:r w:rsidR="00FE13C8" w:rsidRPr="004F6176">
              <w:rPr>
                <w:color w:val="000000"/>
                <w:sz w:val="20"/>
                <w:szCs w:val="20"/>
              </w:rPr>
              <w:t>3,20</w:t>
            </w:r>
          </w:p>
        </w:tc>
      </w:tr>
      <w:tr w:rsidR="00697EF4" w:rsidRPr="004F6176" w:rsidTr="00697EF4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EF4" w:rsidRPr="004F6176" w:rsidRDefault="00697EF4" w:rsidP="00FE13C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2015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EF4" w:rsidRPr="004F6176" w:rsidRDefault="00697EF4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EF4" w:rsidRPr="004F6176" w:rsidRDefault="00E30AC9" w:rsidP="00FE13C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+1,37</w:t>
            </w:r>
          </w:p>
        </w:tc>
      </w:tr>
      <w:tr w:rsidR="001810A0" w:rsidRPr="004F6176" w:rsidTr="00697EF4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A0" w:rsidRPr="004F6176" w:rsidRDefault="001810A0" w:rsidP="00FE13C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A0" w:rsidRPr="004F6176" w:rsidRDefault="00777B4A" w:rsidP="00FD0DD6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810A0" w:rsidRPr="004F6176" w:rsidRDefault="00C24444" w:rsidP="00FE13C8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+4,00</w:t>
            </w:r>
          </w:p>
        </w:tc>
      </w:tr>
    </w:tbl>
    <w:p w:rsidR="008245DC" w:rsidRPr="004F6176" w:rsidRDefault="008245DC" w:rsidP="00C86B3B">
      <w:pPr>
        <w:pStyle w:val="Zkladntextodsazen"/>
        <w:ind w:firstLine="360"/>
        <w:rPr>
          <w:sz w:val="22"/>
          <w:szCs w:val="22"/>
        </w:rPr>
      </w:pPr>
    </w:p>
    <w:p w:rsidR="00BF204F" w:rsidRPr="004F6176" w:rsidRDefault="00292818" w:rsidP="00C86B3B">
      <w:pPr>
        <w:pStyle w:val="Zkladntextodsazen"/>
        <w:ind w:firstLine="360"/>
        <w:rPr>
          <w:sz w:val="22"/>
          <w:szCs w:val="22"/>
        </w:rPr>
      </w:pPr>
      <w:r w:rsidRPr="004F6176">
        <w:rPr>
          <w:sz w:val="22"/>
          <w:szCs w:val="22"/>
        </w:rPr>
        <w:t xml:space="preserve">Celkově lze tlakové poměry cenomanu/turonu považovat za příznivé, tj. tlaková úroveň cenomanského kolektoru se </w:t>
      </w:r>
      <w:r w:rsidR="00453183" w:rsidRPr="004F6176">
        <w:rPr>
          <w:sz w:val="22"/>
          <w:szCs w:val="22"/>
        </w:rPr>
        <w:t xml:space="preserve">dlouhodobě </w:t>
      </w:r>
      <w:r w:rsidRPr="004F6176">
        <w:rPr>
          <w:sz w:val="22"/>
          <w:szCs w:val="22"/>
        </w:rPr>
        <w:t>nachází nad úrovní turonského kolektoru</w:t>
      </w:r>
      <w:r w:rsidR="00E772C8" w:rsidRPr="004F6176">
        <w:rPr>
          <w:sz w:val="22"/>
          <w:szCs w:val="22"/>
        </w:rPr>
        <w:t xml:space="preserve"> a po privilegovaných cestách mezi kolektory dochází ke vzestupnému směru proudění podzemní vody</w:t>
      </w:r>
      <w:r w:rsidRPr="004F6176">
        <w:rPr>
          <w:sz w:val="22"/>
          <w:szCs w:val="22"/>
        </w:rPr>
        <w:t xml:space="preserve">. Z </w:t>
      </w:r>
      <w:r w:rsidR="00E772C8" w:rsidRPr="004F6176">
        <w:rPr>
          <w:sz w:val="22"/>
          <w:szCs w:val="22"/>
        </w:rPr>
        <w:t>výše uvedené argumentace</w:t>
      </w:r>
      <w:r w:rsidRPr="004F6176">
        <w:rPr>
          <w:sz w:val="22"/>
          <w:szCs w:val="22"/>
        </w:rPr>
        <w:t xml:space="preserve"> </w:t>
      </w:r>
      <w:r w:rsidR="00E772C8" w:rsidRPr="004F6176">
        <w:rPr>
          <w:sz w:val="22"/>
          <w:szCs w:val="22"/>
        </w:rPr>
        <w:t xml:space="preserve">lze ohrožení bazálního kolektoru kontaminací ClU z areálu bývalého podniku Transporta pro </w:t>
      </w:r>
      <w:r w:rsidR="00176290" w:rsidRPr="004F6176">
        <w:rPr>
          <w:sz w:val="22"/>
          <w:szCs w:val="22"/>
        </w:rPr>
        <w:t xml:space="preserve">stávající </w:t>
      </w:r>
      <w:r w:rsidR="00E772C8" w:rsidRPr="004F6176">
        <w:rPr>
          <w:sz w:val="22"/>
          <w:szCs w:val="22"/>
        </w:rPr>
        <w:t>modelové řešení zanedbat.</w:t>
      </w:r>
      <w:r w:rsidR="00176290" w:rsidRPr="004F6176">
        <w:rPr>
          <w:sz w:val="22"/>
          <w:szCs w:val="22"/>
        </w:rPr>
        <w:t xml:space="preserve"> Ve vrtu ART-1 a ART-2 se občas vyskytne koncentrace PCE nad mezí detekce, která může být daná i netěsnící výstrojí, nicméně dlouhodobě tyto vrty doporučuji sledovat.</w:t>
      </w:r>
    </w:p>
    <w:p w:rsidR="00E772C8" w:rsidRPr="004F6176" w:rsidRDefault="00E772C8" w:rsidP="00C86B3B">
      <w:pPr>
        <w:pStyle w:val="Zkladntextodsazen"/>
        <w:ind w:firstLine="360"/>
        <w:rPr>
          <w:sz w:val="22"/>
          <w:szCs w:val="22"/>
        </w:rPr>
      </w:pPr>
    </w:p>
    <w:p w:rsidR="00E772C8" w:rsidRPr="004F6176" w:rsidRDefault="00E772C8" w:rsidP="001E3E21">
      <w:pPr>
        <w:pStyle w:val="Nadpis3"/>
        <w:numPr>
          <w:ilvl w:val="0"/>
          <w:numId w:val="0"/>
        </w:numPr>
      </w:pPr>
      <w:bookmarkStart w:id="20" w:name="_Toc405386070"/>
      <w:bookmarkStart w:id="21" w:name="_Toc405386149"/>
      <w:r w:rsidRPr="004F6176">
        <w:t>3.1.2</w:t>
      </w:r>
      <w:r w:rsidRPr="004F6176">
        <w:tab/>
        <w:t>Rozsah modelového řešení</w:t>
      </w:r>
      <w:bookmarkEnd w:id="20"/>
      <w:bookmarkEnd w:id="21"/>
    </w:p>
    <w:p w:rsidR="003444C6" w:rsidRPr="004F6176" w:rsidRDefault="00E772C8" w:rsidP="00C86B3B">
      <w:pPr>
        <w:pStyle w:val="Zkladntextodsazen"/>
        <w:ind w:firstLine="360"/>
        <w:rPr>
          <w:sz w:val="22"/>
          <w:szCs w:val="22"/>
        </w:rPr>
      </w:pPr>
      <w:r w:rsidRPr="004F6176">
        <w:rPr>
          <w:sz w:val="22"/>
          <w:szCs w:val="22"/>
        </w:rPr>
        <w:t>P</w:t>
      </w:r>
      <w:r w:rsidR="009531CC" w:rsidRPr="004F6176">
        <w:rPr>
          <w:sz w:val="22"/>
          <w:szCs w:val="22"/>
        </w:rPr>
        <w:t xml:space="preserve">ředkládaný  matematický model </w:t>
      </w:r>
      <w:r w:rsidRPr="004F6176">
        <w:rPr>
          <w:sz w:val="22"/>
          <w:szCs w:val="22"/>
        </w:rPr>
        <w:t xml:space="preserve">je </w:t>
      </w:r>
      <w:r w:rsidR="009531CC" w:rsidRPr="004F6176">
        <w:rPr>
          <w:sz w:val="22"/>
          <w:szCs w:val="22"/>
        </w:rPr>
        <w:t>koncipovaný jako jednovrstevný.</w:t>
      </w:r>
      <w:r w:rsidR="008B415A" w:rsidRPr="004F6176">
        <w:rPr>
          <w:sz w:val="22"/>
          <w:szCs w:val="22"/>
        </w:rPr>
        <w:t xml:space="preserve"> </w:t>
      </w:r>
      <w:r w:rsidR="00FE3410" w:rsidRPr="004F6176">
        <w:rPr>
          <w:sz w:val="22"/>
          <w:szCs w:val="22"/>
        </w:rPr>
        <w:t xml:space="preserve">Na základě výsledků </w:t>
      </w:r>
      <w:r w:rsidR="008B415A" w:rsidRPr="004F6176">
        <w:rPr>
          <w:sz w:val="22"/>
          <w:szCs w:val="22"/>
        </w:rPr>
        <w:t>karotážní</w:t>
      </w:r>
      <w:r w:rsidR="00FE3410" w:rsidRPr="004F6176">
        <w:rPr>
          <w:sz w:val="22"/>
          <w:szCs w:val="22"/>
        </w:rPr>
        <w:t>ch</w:t>
      </w:r>
      <w:r w:rsidR="008B415A" w:rsidRPr="004F6176">
        <w:rPr>
          <w:sz w:val="22"/>
          <w:szCs w:val="22"/>
        </w:rPr>
        <w:t xml:space="preserve"> měření </w:t>
      </w:r>
      <w:r w:rsidR="008B415A" w:rsidRPr="004F6176">
        <w:rPr>
          <w:sz w:val="22"/>
          <w:szCs w:val="22"/>
          <w:lang w:val="en-US"/>
        </w:rPr>
        <w:t>[</w:t>
      </w:r>
      <w:r w:rsidR="001E470F" w:rsidRPr="004F6176">
        <w:rPr>
          <w:b/>
          <w:sz w:val="22"/>
          <w:szCs w:val="22"/>
          <w:lang w:val="en-US"/>
        </w:rPr>
        <w:t>7</w:t>
      </w:r>
      <w:r w:rsidR="008B415A" w:rsidRPr="004F6176">
        <w:rPr>
          <w:sz w:val="22"/>
          <w:szCs w:val="22"/>
          <w:lang w:val="en-US"/>
        </w:rPr>
        <w:t>]</w:t>
      </w:r>
      <w:r w:rsidR="008B415A" w:rsidRPr="004F6176">
        <w:rPr>
          <w:sz w:val="22"/>
          <w:szCs w:val="22"/>
        </w:rPr>
        <w:t xml:space="preserve"> byla určena úroveň 40 m pod terénem jako báze modelové vrstvy. </w:t>
      </w:r>
      <w:r w:rsidR="00AC636E" w:rsidRPr="004F6176">
        <w:rPr>
          <w:sz w:val="22"/>
          <w:szCs w:val="22"/>
        </w:rPr>
        <w:t xml:space="preserve">Pod touto úrovní nebyl v turonu </w:t>
      </w:r>
      <w:r w:rsidR="00F63EBF" w:rsidRPr="004F6176">
        <w:rPr>
          <w:sz w:val="22"/>
          <w:szCs w:val="22"/>
        </w:rPr>
        <w:t xml:space="preserve">průzkumnými pracemi </w:t>
      </w:r>
      <w:r w:rsidR="00AC636E" w:rsidRPr="004F6176">
        <w:rPr>
          <w:sz w:val="22"/>
          <w:szCs w:val="22"/>
        </w:rPr>
        <w:t>detekován významnější kolektor až po úroveň stropu cenomanu.</w:t>
      </w:r>
      <w:r w:rsidR="005E77B6" w:rsidRPr="004F6176">
        <w:rPr>
          <w:sz w:val="22"/>
          <w:szCs w:val="22"/>
        </w:rPr>
        <w:t xml:space="preserve"> </w:t>
      </w:r>
      <w:r w:rsidR="0068668F" w:rsidRPr="004F6176">
        <w:rPr>
          <w:sz w:val="22"/>
          <w:szCs w:val="22"/>
        </w:rPr>
        <w:t>Simulováno je zvodnění, vázáné</w:t>
      </w:r>
      <w:r w:rsidR="00824B67" w:rsidRPr="004F6176">
        <w:rPr>
          <w:sz w:val="22"/>
          <w:szCs w:val="22"/>
        </w:rPr>
        <w:t xml:space="preserve"> </w:t>
      </w:r>
      <w:r w:rsidR="003C314A" w:rsidRPr="004F6176">
        <w:rPr>
          <w:sz w:val="22"/>
          <w:szCs w:val="22"/>
        </w:rPr>
        <w:t xml:space="preserve">na </w:t>
      </w:r>
      <w:r w:rsidR="0025249F" w:rsidRPr="004F6176">
        <w:rPr>
          <w:sz w:val="22"/>
          <w:szCs w:val="22"/>
        </w:rPr>
        <w:t>sedimenty svrchního turonu a kvartéru.</w:t>
      </w:r>
      <w:r w:rsidR="003576E1" w:rsidRPr="004F6176">
        <w:rPr>
          <w:sz w:val="22"/>
          <w:szCs w:val="22"/>
        </w:rPr>
        <w:t xml:space="preserve"> Tento kolektor je uvažován jako spojitý.</w:t>
      </w:r>
      <w:r w:rsidR="003D4F09" w:rsidRPr="004F6176">
        <w:rPr>
          <w:sz w:val="22"/>
          <w:szCs w:val="22"/>
        </w:rPr>
        <w:t xml:space="preserve"> Rozsah modelové oblasti je znázorněn v příloze č. 2.</w:t>
      </w:r>
    </w:p>
    <w:p w:rsidR="000535EF" w:rsidRPr="004F6176" w:rsidRDefault="000D6BD0" w:rsidP="00C86B3B">
      <w:pPr>
        <w:pStyle w:val="Zkladntextodsazen"/>
        <w:ind w:firstLine="360"/>
        <w:rPr>
          <w:sz w:val="22"/>
          <w:szCs w:val="22"/>
        </w:rPr>
      </w:pPr>
      <w:r w:rsidRPr="004F6176">
        <w:rPr>
          <w:sz w:val="22"/>
          <w:szCs w:val="22"/>
        </w:rPr>
        <w:t>Modelová oblast dosahuje rozlohy 33</w:t>
      </w:r>
      <w:r w:rsidR="005E77B6" w:rsidRPr="004F6176">
        <w:rPr>
          <w:sz w:val="22"/>
          <w:szCs w:val="22"/>
        </w:rPr>
        <w:t>,</w:t>
      </w:r>
      <w:r w:rsidRPr="004F6176">
        <w:rPr>
          <w:sz w:val="22"/>
          <w:szCs w:val="22"/>
        </w:rPr>
        <w:t>5 km</w:t>
      </w:r>
      <w:r w:rsidRPr="004F6176">
        <w:rPr>
          <w:sz w:val="22"/>
          <w:szCs w:val="22"/>
          <w:vertAlign w:val="superscript"/>
        </w:rPr>
        <w:t>2</w:t>
      </w:r>
      <w:r w:rsidRPr="004F6176">
        <w:rPr>
          <w:sz w:val="22"/>
          <w:szCs w:val="22"/>
        </w:rPr>
        <w:t xml:space="preserve"> a je vymezena třemi typy hranic: rozvodnice, vodoteč a uměle stanovená hranice. </w:t>
      </w:r>
      <w:r w:rsidR="000535EF" w:rsidRPr="004F6176">
        <w:rPr>
          <w:sz w:val="22"/>
          <w:szCs w:val="22"/>
        </w:rPr>
        <w:t>Hydrologické rozvodnice IV. řádu přitom pro předmětný kolektor uvažujeme za identické s </w:t>
      </w:r>
      <w:r w:rsidR="005E77B6" w:rsidRPr="004F6176">
        <w:rPr>
          <w:sz w:val="22"/>
          <w:szCs w:val="22"/>
        </w:rPr>
        <w:t xml:space="preserve">rozvodnicemi </w:t>
      </w:r>
      <w:r w:rsidR="000535EF" w:rsidRPr="004F6176">
        <w:rPr>
          <w:sz w:val="22"/>
          <w:szCs w:val="22"/>
        </w:rPr>
        <w:t>hydrogeologick</w:t>
      </w:r>
      <w:r w:rsidR="005E77B6" w:rsidRPr="004F6176">
        <w:rPr>
          <w:sz w:val="22"/>
          <w:szCs w:val="22"/>
        </w:rPr>
        <w:t>ými</w:t>
      </w:r>
      <w:r w:rsidR="000535EF" w:rsidRPr="004F6176">
        <w:rPr>
          <w:sz w:val="22"/>
          <w:szCs w:val="22"/>
        </w:rPr>
        <w:t xml:space="preserve">. </w:t>
      </w:r>
      <w:r w:rsidR="005E77B6" w:rsidRPr="004F6176">
        <w:rPr>
          <w:sz w:val="22"/>
          <w:szCs w:val="22"/>
        </w:rPr>
        <w:t>Příloha</w:t>
      </w:r>
      <w:r w:rsidR="0072379C" w:rsidRPr="004F6176">
        <w:rPr>
          <w:sz w:val="22"/>
          <w:szCs w:val="22"/>
        </w:rPr>
        <w:t> </w:t>
      </w:r>
      <w:r w:rsidR="005E77B6" w:rsidRPr="004F6176">
        <w:rPr>
          <w:sz w:val="22"/>
          <w:szCs w:val="22"/>
        </w:rPr>
        <w:t>č.</w:t>
      </w:r>
      <w:r w:rsidR="0072379C" w:rsidRPr="004F6176">
        <w:rPr>
          <w:sz w:val="22"/>
          <w:szCs w:val="22"/>
        </w:rPr>
        <w:t> 4</w:t>
      </w:r>
      <w:r w:rsidR="005E77B6" w:rsidRPr="004F6176">
        <w:rPr>
          <w:sz w:val="22"/>
          <w:szCs w:val="22"/>
        </w:rPr>
        <w:t xml:space="preserve"> zobrazuje rozdělení typu hranice v</w:t>
      </w:r>
      <w:r w:rsidR="003A0763" w:rsidRPr="004F6176">
        <w:rPr>
          <w:sz w:val="22"/>
          <w:szCs w:val="22"/>
        </w:rPr>
        <w:t> </w:t>
      </w:r>
      <w:r w:rsidR="005E77B6" w:rsidRPr="004F6176">
        <w:rPr>
          <w:sz w:val="22"/>
          <w:szCs w:val="22"/>
        </w:rPr>
        <w:t xml:space="preserve">okrajových částech modelu. </w:t>
      </w:r>
      <w:r w:rsidRPr="004F6176">
        <w:rPr>
          <w:sz w:val="22"/>
          <w:szCs w:val="22"/>
        </w:rPr>
        <w:t xml:space="preserve">Západní hranici modelové oblasti tvoří hydrologická rozvodnice. </w:t>
      </w:r>
      <w:r w:rsidR="000535EF" w:rsidRPr="004F6176">
        <w:rPr>
          <w:sz w:val="22"/>
          <w:szCs w:val="22"/>
        </w:rPr>
        <w:t>Část jihozápadní části vymezení je tvořena umělou hranicí, část je tvořena úsekem toku Markovického potoka. Jižní sekci oblasti vymezuje rozvodnice a umělá hranice až po údolí Chrudimky. Následuje jihovýchodní úsek hranice, dlouhý cca 3,5 km, kde udává hranici modelu řeka Chrudimka.</w:t>
      </w:r>
      <w:r w:rsidR="00D93C34" w:rsidRPr="004F6176">
        <w:rPr>
          <w:sz w:val="22"/>
          <w:szCs w:val="22"/>
        </w:rPr>
        <w:t xml:space="preserve"> Východní úsek vymezení oblasti zasahuje cca 600 m severně nad Dražkovice a tento úsek je tvořen hydrologickou rozvodnicí IV. řádu.</w:t>
      </w:r>
      <w:r w:rsidR="00B05A06" w:rsidRPr="004F6176">
        <w:rPr>
          <w:sz w:val="22"/>
          <w:szCs w:val="22"/>
        </w:rPr>
        <w:t xml:space="preserve"> Uzavírající severní část je stanovena uměle.</w:t>
      </w:r>
    </w:p>
    <w:p w:rsidR="003576E1" w:rsidRPr="004F6176" w:rsidRDefault="0078549E" w:rsidP="00C86B3B">
      <w:pPr>
        <w:pStyle w:val="Zkladntextodsazen"/>
        <w:ind w:firstLine="360"/>
        <w:rPr>
          <w:sz w:val="22"/>
          <w:szCs w:val="22"/>
        </w:rPr>
      </w:pPr>
      <w:r w:rsidRPr="004F6176">
        <w:rPr>
          <w:sz w:val="22"/>
          <w:szCs w:val="22"/>
        </w:rPr>
        <w:lastRenderedPageBreak/>
        <w:t>Vrchní část</w:t>
      </w:r>
      <w:r w:rsidR="008051E5" w:rsidRPr="004F6176">
        <w:rPr>
          <w:sz w:val="22"/>
          <w:szCs w:val="22"/>
        </w:rPr>
        <w:t xml:space="preserve"> modelové vrstvy byl</w:t>
      </w:r>
      <w:r w:rsidRPr="004F6176">
        <w:rPr>
          <w:sz w:val="22"/>
          <w:szCs w:val="22"/>
        </w:rPr>
        <w:t>a</w:t>
      </w:r>
      <w:r w:rsidR="008051E5" w:rsidRPr="004F6176">
        <w:rPr>
          <w:sz w:val="22"/>
          <w:szCs w:val="22"/>
        </w:rPr>
        <w:t xml:space="preserve"> konstruován</w:t>
      </w:r>
      <w:r w:rsidRPr="004F6176">
        <w:rPr>
          <w:sz w:val="22"/>
          <w:szCs w:val="22"/>
        </w:rPr>
        <w:t>a</w:t>
      </w:r>
      <w:r w:rsidR="008051E5" w:rsidRPr="004F6176">
        <w:rPr>
          <w:sz w:val="22"/>
          <w:szCs w:val="22"/>
        </w:rPr>
        <w:t xml:space="preserve"> z</w:t>
      </w:r>
      <w:r w:rsidR="00D86E2E" w:rsidRPr="004F6176">
        <w:rPr>
          <w:sz w:val="22"/>
          <w:szCs w:val="22"/>
        </w:rPr>
        <w:t xml:space="preserve"> podkladu </w:t>
      </w:r>
      <w:r w:rsidR="00D86E2E" w:rsidRPr="004F6176">
        <w:rPr>
          <w:smallCaps/>
          <w:sz w:val="22"/>
          <w:szCs w:val="22"/>
        </w:rPr>
        <w:t>Z</w:t>
      </w:r>
      <w:r w:rsidR="003576E1" w:rsidRPr="004F6176">
        <w:rPr>
          <w:smallCaps/>
          <w:sz w:val="22"/>
          <w:szCs w:val="22"/>
        </w:rPr>
        <w:t>abaged</w:t>
      </w:r>
      <w:r w:rsidR="00D86E2E" w:rsidRPr="004F6176">
        <w:rPr>
          <w:sz w:val="22"/>
          <w:szCs w:val="22"/>
          <w:vertAlign w:val="superscript"/>
        </w:rPr>
        <w:t>®</w:t>
      </w:r>
      <w:r w:rsidR="00D86E2E" w:rsidRPr="004F6176">
        <w:rPr>
          <w:sz w:val="20"/>
        </w:rPr>
        <w:t xml:space="preserve"> </w:t>
      </w:r>
      <w:r w:rsidR="00D86E2E" w:rsidRPr="004F6176">
        <w:rPr>
          <w:sz w:val="22"/>
          <w:szCs w:val="22"/>
        </w:rPr>
        <w:t xml:space="preserve"> (výškopis 3D vrstevnice, </w:t>
      </w:r>
      <w:r w:rsidR="00A42819" w:rsidRPr="004F6176">
        <w:rPr>
          <w:sz w:val="22"/>
          <w:szCs w:val="22"/>
        </w:rPr>
        <w:t>© </w:t>
      </w:r>
      <w:r w:rsidR="00A063DA" w:rsidRPr="004F6176">
        <w:rPr>
          <w:sz w:val="22"/>
          <w:szCs w:val="22"/>
        </w:rPr>
        <w:t>ČÚZK Praha)</w:t>
      </w:r>
      <w:r w:rsidR="00194545" w:rsidRPr="004F6176">
        <w:rPr>
          <w:sz w:val="22"/>
          <w:szCs w:val="22"/>
        </w:rPr>
        <w:t>. B</w:t>
      </w:r>
      <w:r w:rsidR="008051E5" w:rsidRPr="004F6176">
        <w:rPr>
          <w:sz w:val="22"/>
          <w:szCs w:val="22"/>
        </w:rPr>
        <w:t xml:space="preserve">áze skalního podloží byla volena </w:t>
      </w:r>
      <w:r w:rsidR="009E7128" w:rsidRPr="004F6176">
        <w:rPr>
          <w:sz w:val="22"/>
          <w:szCs w:val="22"/>
        </w:rPr>
        <w:t xml:space="preserve">snížením terénu o </w:t>
      </w:r>
      <w:r w:rsidR="003576E1" w:rsidRPr="004F6176">
        <w:rPr>
          <w:sz w:val="22"/>
          <w:szCs w:val="22"/>
        </w:rPr>
        <w:t>4</w:t>
      </w:r>
      <w:r w:rsidR="00C8620B" w:rsidRPr="004F6176">
        <w:rPr>
          <w:sz w:val="22"/>
          <w:szCs w:val="22"/>
        </w:rPr>
        <w:t>0 m</w:t>
      </w:r>
      <w:r w:rsidR="008051E5" w:rsidRPr="004F6176">
        <w:rPr>
          <w:sz w:val="22"/>
          <w:szCs w:val="22"/>
        </w:rPr>
        <w:t xml:space="preserve">. </w:t>
      </w:r>
      <w:r w:rsidR="0072379C" w:rsidRPr="004F6176">
        <w:rPr>
          <w:sz w:val="22"/>
          <w:szCs w:val="22"/>
        </w:rPr>
        <w:t xml:space="preserve">Model </w:t>
      </w:r>
      <w:r w:rsidR="006F02FD" w:rsidRPr="004F6176">
        <w:rPr>
          <w:sz w:val="22"/>
          <w:szCs w:val="22"/>
        </w:rPr>
        <w:t>terénu</w:t>
      </w:r>
      <w:r w:rsidR="00F15F4C" w:rsidRPr="004F6176">
        <w:rPr>
          <w:sz w:val="22"/>
          <w:szCs w:val="22"/>
        </w:rPr>
        <w:t xml:space="preserve"> </w:t>
      </w:r>
      <w:r w:rsidR="0072379C" w:rsidRPr="004F6176">
        <w:rPr>
          <w:sz w:val="22"/>
          <w:szCs w:val="22"/>
        </w:rPr>
        <w:t xml:space="preserve">je </w:t>
      </w:r>
      <w:r w:rsidR="00F15F4C" w:rsidRPr="004F6176">
        <w:rPr>
          <w:sz w:val="22"/>
          <w:szCs w:val="22"/>
        </w:rPr>
        <w:t>zobrazen</w:t>
      </w:r>
      <w:r w:rsidR="008943D2" w:rsidRPr="004F6176">
        <w:rPr>
          <w:sz w:val="22"/>
          <w:szCs w:val="22"/>
        </w:rPr>
        <w:t xml:space="preserve"> v</w:t>
      </w:r>
      <w:r w:rsidR="0072379C" w:rsidRPr="004F6176">
        <w:rPr>
          <w:sz w:val="22"/>
          <w:szCs w:val="22"/>
        </w:rPr>
        <w:t> </w:t>
      </w:r>
      <w:r w:rsidR="008943D2" w:rsidRPr="004F6176">
        <w:rPr>
          <w:sz w:val="22"/>
          <w:szCs w:val="22"/>
        </w:rPr>
        <w:t xml:space="preserve">příloze </w:t>
      </w:r>
      <w:r w:rsidR="006D5A94" w:rsidRPr="004F6176">
        <w:rPr>
          <w:sz w:val="22"/>
          <w:szCs w:val="22"/>
        </w:rPr>
        <w:t xml:space="preserve">č. </w:t>
      </w:r>
      <w:r w:rsidR="0072379C" w:rsidRPr="004F6176">
        <w:rPr>
          <w:sz w:val="22"/>
          <w:szCs w:val="22"/>
        </w:rPr>
        <w:t>5</w:t>
      </w:r>
      <w:r w:rsidR="008943D2" w:rsidRPr="004F6176">
        <w:rPr>
          <w:sz w:val="22"/>
          <w:szCs w:val="22"/>
        </w:rPr>
        <w:t>.</w:t>
      </w:r>
    </w:p>
    <w:p w:rsidR="008051E5" w:rsidRPr="004F6176" w:rsidRDefault="006F02FD" w:rsidP="00C86B3B">
      <w:pPr>
        <w:pStyle w:val="Zkladntextodsazen"/>
        <w:ind w:firstLine="360"/>
        <w:rPr>
          <w:sz w:val="22"/>
          <w:szCs w:val="22"/>
        </w:rPr>
      </w:pPr>
      <w:r w:rsidRPr="004F6176">
        <w:rPr>
          <w:sz w:val="22"/>
          <w:szCs w:val="22"/>
        </w:rPr>
        <w:t>Vstupními dat</w:t>
      </w:r>
      <w:r w:rsidR="00C56C35" w:rsidRPr="004F6176">
        <w:rPr>
          <w:sz w:val="22"/>
          <w:szCs w:val="22"/>
        </w:rPr>
        <w:t>y</w:t>
      </w:r>
      <w:r w:rsidRPr="004F6176">
        <w:rPr>
          <w:sz w:val="22"/>
          <w:szCs w:val="22"/>
        </w:rPr>
        <w:t xml:space="preserve"> </w:t>
      </w:r>
      <w:r w:rsidR="009E7128" w:rsidRPr="004F6176">
        <w:rPr>
          <w:sz w:val="22"/>
          <w:szCs w:val="22"/>
        </w:rPr>
        <w:t xml:space="preserve">pro konstrukci modelového rozsahu </w:t>
      </w:r>
      <w:r w:rsidRPr="004F6176">
        <w:rPr>
          <w:sz w:val="22"/>
          <w:szCs w:val="22"/>
        </w:rPr>
        <w:t>byly údaje o </w:t>
      </w:r>
      <w:r w:rsidR="00AA3CBC" w:rsidRPr="004F6176">
        <w:rPr>
          <w:sz w:val="22"/>
          <w:szCs w:val="22"/>
        </w:rPr>
        <w:t>hydrogeologických objektech v zájmovém prostoru, které uvádíme v</w:t>
      </w:r>
      <w:r w:rsidR="00C56C35" w:rsidRPr="004F6176">
        <w:rPr>
          <w:sz w:val="22"/>
          <w:szCs w:val="22"/>
        </w:rPr>
        <w:t xml:space="preserve"> příloze č. </w:t>
      </w:r>
      <w:r w:rsidR="0037451B" w:rsidRPr="004F6176">
        <w:rPr>
          <w:sz w:val="22"/>
          <w:szCs w:val="22"/>
        </w:rPr>
        <w:t>1</w:t>
      </w:r>
      <w:r w:rsidR="007E68EE" w:rsidRPr="004F6176">
        <w:rPr>
          <w:sz w:val="22"/>
          <w:szCs w:val="22"/>
        </w:rPr>
        <w:t>1</w:t>
      </w:r>
      <w:r w:rsidR="00AA3CBC" w:rsidRPr="004F6176">
        <w:rPr>
          <w:sz w:val="22"/>
          <w:szCs w:val="22"/>
        </w:rPr>
        <w:t>.</w:t>
      </w:r>
      <w:r w:rsidR="008051E5" w:rsidRPr="004F6176">
        <w:rPr>
          <w:sz w:val="22"/>
          <w:szCs w:val="22"/>
        </w:rPr>
        <w:t xml:space="preserve"> </w:t>
      </w:r>
      <w:r w:rsidR="00CC7B58" w:rsidRPr="004F6176">
        <w:rPr>
          <w:sz w:val="22"/>
          <w:szCs w:val="22"/>
        </w:rPr>
        <w:t>Jejich situace je znázorněna v příloze č. 3.</w:t>
      </w:r>
    </w:p>
    <w:p w:rsidR="008051E5" w:rsidRPr="004F6176" w:rsidRDefault="008051E5" w:rsidP="000814F1">
      <w:pPr>
        <w:pStyle w:val="Zkladntextodsazen"/>
        <w:rPr>
          <w:sz w:val="22"/>
          <w:szCs w:val="22"/>
        </w:rPr>
      </w:pPr>
      <w:r w:rsidRPr="004F6176">
        <w:rPr>
          <w:sz w:val="22"/>
          <w:szCs w:val="22"/>
        </w:rPr>
        <w:t xml:space="preserve">Jako </w:t>
      </w:r>
      <w:r w:rsidR="00C5355F" w:rsidRPr="004F6176">
        <w:rPr>
          <w:sz w:val="22"/>
          <w:szCs w:val="22"/>
        </w:rPr>
        <w:t xml:space="preserve">základní </w:t>
      </w:r>
      <w:r w:rsidRPr="004F6176">
        <w:rPr>
          <w:sz w:val="22"/>
          <w:szCs w:val="22"/>
        </w:rPr>
        <w:t xml:space="preserve">podklad pro </w:t>
      </w:r>
      <w:r w:rsidR="005B77D1" w:rsidRPr="004F6176">
        <w:rPr>
          <w:sz w:val="22"/>
          <w:szCs w:val="22"/>
        </w:rPr>
        <w:t xml:space="preserve">celé </w:t>
      </w:r>
      <w:r w:rsidRPr="004F6176">
        <w:rPr>
          <w:sz w:val="22"/>
          <w:szCs w:val="22"/>
        </w:rPr>
        <w:t>modelové území byla pou</w:t>
      </w:r>
      <w:r w:rsidR="005D6019" w:rsidRPr="004F6176">
        <w:rPr>
          <w:sz w:val="22"/>
          <w:szCs w:val="22"/>
        </w:rPr>
        <w:t xml:space="preserve">žita </w:t>
      </w:r>
      <w:r w:rsidR="00A42819" w:rsidRPr="004F6176">
        <w:rPr>
          <w:sz w:val="22"/>
          <w:szCs w:val="22"/>
        </w:rPr>
        <w:t>rastrová mapa ČR 1</w:t>
      </w:r>
      <w:r w:rsidR="005B77D1" w:rsidRPr="004F6176">
        <w:rPr>
          <w:sz w:val="22"/>
          <w:szCs w:val="22"/>
        </w:rPr>
        <w:t> </w:t>
      </w:r>
      <w:r w:rsidR="00A42819" w:rsidRPr="004F6176">
        <w:rPr>
          <w:sz w:val="22"/>
          <w:szCs w:val="22"/>
        </w:rPr>
        <w:t>:</w:t>
      </w:r>
      <w:r w:rsidR="005B77D1" w:rsidRPr="004F6176">
        <w:rPr>
          <w:sz w:val="22"/>
          <w:szCs w:val="22"/>
        </w:rPr>
        <w:t> </w:t>
      </w:r>
      <w:r w:rsidR="00F212D3" w:rsidRPr="004F6176">
        <w:rPr>
          <w:sz w:val="22"/>
          <w:szCs w:val="22"/>
        </w:rPr>
        <w:t>25</w:t>
      </w:r>
      <w:r w:rsidR="005B77D1" w:rsidRPr="004F6176">
        <w:rPr>
          <w:sz w:val="22"/>
          <w:szCs w:val="22"/>
        </w:rPr>
        <w:t> </w:t>
      </w:r>
      <w:r w:rsidR="005D6019" w:rsidRPr="004F6176">
        <w:rPr>
          <w:sz w:val="22"/>
          <w:szCs w:val="22"/>
        </w:rPr>
        <w:t>000 a </w:t>
      </w:r>
      <w:r w:rsidR="005B77D1" w:rsidRPr="004F6176">
        <w:rPr>
          <w:sz w:val="22"/>
          <w:szCs w:val="22"/>
        </w:rPr>
        <w:t>pro</w:t>
      </w:r>
      <w:r w:rsidR="00F212D3" w:rsidRPr="004F6176">
        <w:rPr>
          <w:sz w:val="22"/>
          <w:szCs w:val="22"/>
        </w:rPr>
        <w:t> </w:t>
      </w:r>
      <w:r w:rsidR="005B77D1" w:rsidRPr="004F6176">
        <w:rPr>
          <w:sz w:val="22"/>
          <w:szCs w:val="22"/>
        </w:rPr>
        <w:t xml:space="preserve">areál nového závodu byla použita </w:t>
      </w:r>
      <w:r w:rsidR="005D6019" w:rsidRPr="004F6176">
        <w:rPr>
          <w:sz w:val="22"/>
          <w:szCs w:val="22"/>
        </w:rPr>
        <w:t xml:space="preserve">státní mapa </w:t>
      </w:r>
      <w:r w:rsidR="005B77D1" w:rsidRPr="004F6176">
        <w:rPr>
          <w:sz w:val="22"/>
          <w:szCs w:val="22"/>
        </w:rPr>
        <w:t xml:space="preserve">měřítka </w:t>
      </w:r>
      <w:r w:rsidR="005D6019" w:rsidRPr="004F6176">
        <w:rPr>
          <w:sz w:val="22"/>
          <w:szCs w:val="22"/>
        </w:rPr>
        <w:t>1</w:t>
      </w:r>
      <w:r w:rsidR="00E256D0" w:rsidRPr="004F6176">
        <w:rPr>
          <w:sz w:val="22"/>
          <w:szCs w:val="22"/>
        </w:rPr>
        <w:t xml:space="preserve"> : 5 000 (vektorová</w:t>
      </w:r>
      <w:r w:rsidR="005D6019" w:rsidRPr="004F6176">
        <w:rPr>
          <w:sz w:val="22"/>
          <w:szCs w:val="22"/>
        </w:rPr>
        <w:t xml:space="preserve"> katastrální složka, ©</w:t>
      </w:r>
      <w:r w:rsidR="005B77D1" w:rsidRPr="004F6176">
        <w:rPr>
          <w:sz w:val="22"/>
          <w:szCs w:val="22"/>
        </w:rPr>
        <w:t> </w:t>
      </w:r>
      <w:r w:rsidR="005D6019" w:rsidRPr="004F6176">
        <w:rPr>
          <w:sz w:val="22"/>
          <w:szCs w:val="22"/>
        </w:rPr>
        <w:t xml:space="preserve">ČÚZK Praha), která byla importována do modelu. </w:t>
      </w:r>
      <w:r w:rsidRPr="004F6176">
        <w:rPr>
          <w:sz w:val="22"/>
          <w:szCs w:val="22"/>
        </w:rPr>
        <w:t xml:space="preserve">Výřez zmiňovaných map zahrnuje oblast o velikosti </w:t>
      </w:r>
      <w:r w:rsidR="000206AA" w:rsidRPr="004F6176">
        <w:rPr>
          <w:sz w:val="22"/>
          <w:szCs w:val="22"/>
        </w:rPr>
        <w:t>8 000 </w:t>
      </w:r>
      <w:r w:rsidRPr="004F6176">
        <w:rPr>
          <w:sz w:val="22"/>
          <w:szCs w:val="22"/>
        </w:rPr>
        <w:t xml:space="preserve">m ve směru osy X a </w:t>
      </w:r>
      <w:r w:rsidR="000206AA" w:rsidRPr="004F6176">
        <w:rPr>
          <w:sz w:val="22"/>
          <w:szCs w:val="22"/>
        </w:rPr>
        <w:t>10 0</w:t>
      </w:r>
      <w:r w:rsidR="00A646EA" w:rsidRPr="004F6176">
        <w:rPr>
          <w:sz w:val="22"/>
          <w:szCs w:val="22"/>
        </w:rPr>
        <w:t>00</w:t>
      </w:r>
      <w:r w:rsidR="000206AA" w:rsidRPr="004F6176">
        <w:rPr>
          <w:sz w:val="22"/>
          <w:szCs w:val="22"/>
        </w:rPr>
        <w:t> </w:t>
      </w:r>
      <w:r w:rsidRPr="004F6176">
        <w:rPr>
          <w:sz w:val="22"/>
          <w:szCs w:val="22"/>
        </w:rPr>
        <w:t xml:space="preserve">m ve směru osy Y s nulovou hodnotou ve spodním levém rohu modelové sítě. </w:t>
      </w:r>
      <w:r w:rsidR="000814F1" w:rsidRPr="004F6176">
        <w:rPr>
          <w:sz w:val="22"/>
          <w:szCs w:val="22"/>
        </w:rPr>
        <w:t>Modelová síť byla kon</w:t>
      </w:r>
      <w:r w:rsidR="00371CB2" w:rsidRPr="004F6176">
        <w:rPr>
          <w:sz w:val="22"/>
          <w:szCs w:val="22"/>
        </w:rPr>
        <w:t xml:space="preserve">struována v souřadném systému </w:t>
      </w:r>
      <w:r w:rsidR="000206AA" w:rsidRPr="004F6176">
        <w:rPr>
          <w:sz w:val="22"/>
          <w:szCs w:val="22"/>
        </w:rPr>
        <w:t>S-</w:t>
      </w:r>
      <w:r w:rsidR="00371CB2" w:rsidRPr="004F6176">
        <w:rPr>
          <w:sz w:val="22"/>
          <w:szCs w:val="22"/>
        </w:rPr>
        <w:t>J</w:t>
      </w:r>
      <w:r w:rsidR="000814F1" w:rsidRPr="004F6176">
        <w:rPr>
          <w:sz w:val="22"/>
          <w:szCs w:val="22"/>
        </w:rPr>
        <w:t>TSK</w:t>
      </w:r>
      <w:r w:rsidR="00A646EA" w:rsidRPr="004F6176">
        <w:rPr>
          <w:sz w:val="22"/>
          <w:szCs w:val="22"/>
        </w:rPr>
        <w:t xml:space="preserve"> s hodnotou nulového bodu Y</w:t>
      </w:r>
      <w:r w:rsidR="00A42819" w:rsidRPr="004F6176">
        <w:rPr>
          <w:sz w:val="22"/>
          <w:szCs w:val="22"/>
        </w:rPr>
        <w:t> </w:t>
      </w:r>
      <w:r w:rsidR="004010EC" w:rsidRPr="004F6176">
        <w:rPr>
          <w:sz w:val="22"/>
          <w:szCs w:val="22"/>
        </w:rPr>
        <w:t xml:space="preserve">= </w:t>
      </w:r>
      <w:r w:rsidR="00E256D0" w:rsidRPr="004F6176">
        <w:rPr>
          <w:sz w:val="22"/>
          <w:szCs w:val="22"/>
        </w:rPr>
        <w:t>6</w:t>
      </w:r>
      <w:r w:rsidR="00953E26" w:rsidRPr="004F6176">
        <w:rPr>
          <w:sz w:val="22"/>
          <w:szCs w:val="22"/>
        </w:rPr>
        <w:t>52</w:t>
      </w:r>
      <w:r w:rsidR="00E256D0" w:rsidRPr="004F6176">
        <w:rPr>
          <w:sz w:val="22"/>
          <w:szCs w:val="22"/>
        </w:rPr>
        <w:t xml:space="preserve"> </w:t>
      </w:r>
      <w:r w:rsidR="00953E26" w:rsidRPr="004F6176">
        <w:rPr>
          <w:sz w:val="22"/>
          <w:szCs w:val="22"/>
        </w:rPr>
        <w:t>800</w:t>
      </w:r>
      <w:r w:rsidR="000814F1" w:rsidRPr="004F6176">
        <w:rPr>
          <w:sz w:val="22"/>
          <w:szCs w:val="22"/>
        </w:rPr>
        <w:t xml:space="preserve"> a</w:t>
      </w:r>
      <w:r w:rsidR="00A646EA" w:rsidRPr="004F6176">
        <w:rPr>
          <w:sz w:val="22"/>
          <w:szCs w:val="22"/>
        </w:rPr>
        <w:t xml:space="preserve"> X</w:t>
      </w:r>
      <w:r w:rsidR="00C1323F" w:rsidRPr="004F6176">
        <w:rPr>
          <w:sz w:val="22"/>
          <w:szCs w:val="22"/>
        </w:rPr>
        <w:t xml:space="preserve"> = </w:t>
      </w:r>
      <w:r w:rsidR="00E256D0" w:rsidRPr="004F6176">
        <w:rPr>
          <w:sz w:val="22"/>
          <w:szCs w:val="22"/>
        </w:rPr>
        <w:t>1 07</w:t>
      </w:r>
      <w:r w:rsidR="00953E26" w:rsidRPr="004F6176">
        <w:rPr>
          <w:sz w:val="22"/>
          <w:szCs w:val="22"/>
        </w:rPr>
        <w:t>2</w:t>
      </w:r>
      <w:r w:rsidR="00E256D0" w:rsidRPr="004F6176">
        <w:rPr>
          <w:sz w:val="22"/>
          <w:szCs w:val="22"/>
        </w:rPr>
        <w:t xml:space="preserve"> </w:t>
      </w:r>
      <w:r w:rsidR="00953E26" w:rsidRPr="004F6176">
        <w:rPr>
          <w:sz w:val="22"/>
          <w:szCs w:val="22"/>
        </w:rPr>
        <w:t>400</w:t>
      </w:r>
      <w:r w:rsidR="000814F1" w:rsidRPr="004F6176">
        <w:rPr>
          <w:sz w:val="22"/>
          <w:szCs w:val="22"/>
        </w:rPr>
        <w:t xml:space="preserve">. </w:t>
      </w:r>
      <w:r w:rsidRPr="004F6176">
        <w:rPr>
          <w:sz w:val="22"/>
          <w:szCs w:val="22"/>
        </w:rPr>
        <w:t>Modelov</w:t>
      </w:r>
      <w:r w:rsidR="000C4B29" w:rsidRPr="004F6176">
        <w:rPr>
          <w:sz w:val="22"/>
          <w:szCs w:val="22"/>
        </w:rPr>
        <w:t>é území byl</w:t>
      </w:r>
      <w:r w:rsidR="000C5BBF" w:rsidRPr="004F6176">
        <w:rPr>
          <w:sz w:val="22"/>
          <w:szCs w:val="22"/>
        </w:rPr>
        <w:t xml:space="preserve">o rozděleno </w:t>
      </w:r>
      <w:r w:rsidRPr="004F6176">
        <w:rPr>
          <w:sz w:val="22"/>
          <w:szCs w:val="22"/>
        </w:rPr>
        <w:t xml:space="preserve">ortogonální modelovou sítí se základní velikostí modelové buňky </w:t>
      </w:r>
      <w:r w:rsidR="00E971B3" w:rsidRPr="004F6176">
        <w:rPr>
          <w:sz w:val="22"/>
          <w:szCs w:val="22"/>
        </w:rPr>
        <w:t>50</w:t>
      </w:r>
      <w:r w:rsidR="00E146D8" w:rsidRPr="004F6176">
        <w:rPr>
          <w:sz w:val="22"/>
          <w:szCs w:val="22"/>
        </w:rPr>
        <w:t xml:space="preserve"> x </w:t>
      </w:r>
      <w:r w:rsidR="00E971B3" w:rsidRPr="004F6176">
        <w:rPr>
          <w:sz w:val="22"/>
          <w:szCs w:val="22"/>
        </w:rPr>
        <w:t>50</w:t>
      </w:r>
      <w:r w:rsidRPr="004F6176">
        <w:rPr>
          <w:sz w:val="22"/>
          <w:szCs w:val="22"/>
        </w:rPr>
        <w:t xml:space="preserve"> m. </w:t>
      </w:r>
      <w:r w:rsidR="000C4B29" w:rsidRPr="004F6176">
        <w:rPr>
          <w:sz w:val="22"/>
          <w:szCs w:val="22"/>
        </w:rPr>
        <w:t>V</w:t>
      </w:r>
      <w:r w:rsidR="000C5BBF" w:rsidRPr="004F6176">
        <w:rPr>
          <w:sz w:val="22"/>
          <w:szCs w:val="22"/>
        </w:rPr>
        <w:t> </w:t>
      </w:r>
      <w:r w:rsidR="002C416C" w:rsidRPr="004F6176">
        <w:rPr>
          <w:sz w:val="22"/>
          <w:szCs w:val="22"/>
        </w:rPr>
        <w:t>bezprostřední</w:t>
      </w:r>
      <w:r w:rsidR="000C5BBF" w:rsidRPr="004F6176">
        <w:rPr>
          <w:sz w:val="22"/>
          <w:szCs w:val="22"/>
        </w:rPr>
        <w:t xml:space="preserve"> </w:t>
      </w:r>
      <w:r w:rsidR="00A646EA" w:rsidRPr="004F6176">
        <w:rPr>
          <w:sz w:val="22"/>
          <w:szCs w:val="22"/>
        </w:rPr>
        <w:t xml:space="preserve">kontaminované </w:t>
      </w:r>
      <w:r w:rsidR="000C5BBF" w:rsidRPr="004F6176">
        <w:rPr>
          <w:sz w:val="22"/>
          <w:szCs w:val="22"/>
        </w:rPr>
        <w:t xml:space="preserve">oblasti byla modelová síť zahuštěna na </w:t>
      </w:r>
      <w:r w:rsidR="004010EC" w:rsidRPr="004F6176">
        <w:rPr>
          <w:sz w:val="22"/>
          <w:szCs w:val="22"/>
        </w:rPr>
        <w:t xml:space="preserve">velikost modelové buňky </w:t>
      </w:r>
      <w:r w:rsidR="00E971B3" w:rsidRPr="004F6176">
        <w:rPr>
          <w:sz w:val="22"/>
          <w:szCs w:val="22"/>
        </w:rPr>
        <w:t>12</w:t>
      </w:r>
      <w:r w:rsidR="000C5BBF" w:rsidRPr="004F6176">
        <w:rPr>
          <w:sz w:val="22"/>
          <w:szCs w:val="22"/>
        </w:rPr>
        <w:t xml:space="preserve"> x </w:t>
      </w:r>
      <w:r w:rsidR="00E971B3" w:rsidRPr="004F6176">
        <w:rPr>
          <w:sz w:val="22"/>
          <w:szCs w:val="22"/>
        </w:rPr>
        <w:t>12</w:t>
      </w:r>
      <w:r w:rsidR="000C5BBF" w:rsidRPr="004F6176">
        <w:rPr>
          <w:sz w:val="22"/>
          <w:szCs w:val="22"/>
        </w:rPr>
        <w:t xml:space="preserve"> m</w:t>
      </w:r>
      <w:r w:rsidR="00A646EA" w:rsidRPr="004F6176">
        <w:rPr>
          <w:sz w:val="22"/>
          <w:szCs w:val="22"/>
        </w:rPr>
        <w:t>.</w:t>
      </w:r>
      <w:r w:rsidR="000C5BBF" w:rsidRPr="004F6176">
        <w:rPr>
          <w:sz w:val="22"/>
          <w:szCs w:val="22"/>
        </w:rPr>
        <w:t xml:space="preserve"> </w:t>
      </w:r>
      <w:r w:rsidRPr="004F6176">
        <w:rPr>
          <w:sz w:val="22"/>
          <w:szCs w:val="22"/>
        </w:rPr>
        <w:t xml:space="preserve">Ve směru osy X tvoří modelovou síť </w:t>
      </w:r>
      <w:r w:rsidR="00E256D0" w:rsidRPr="004F6176">
        <w:rPr>
          <w:sz w:val="22"/>
          <w:szCs w:val="22"/>
        </w:rPr>
        <w:t>1</w:t>
      </w:r>
      <w:r w:rsidR="00C87B2D" w:rsidRPr="004F6176">
        <w:rPr>
          <w:sz w:val="22"/>
          <w:szCs w:val="22"/>
        </w:rPr>
        <w:t>97</w:t>
      </w:r>
      <w:r w:rsidR="000C5BBF" w:rsidRPr="004F6176">
        <w:rPr>
          <w:sz w:val="22"/>
          <w:szCs w:val="22"/>
        </w:rPr>
        <w:t xml:space="preserve"> sloupců a ve směru osy Y </w:t>
      </w:r>
      <w:r w:rsidR="00E256D0" w:rsidRPr="004F6176">
        <w:rPr>
          <w:sz w:val="22"/>
          <w:szCs w:val="22"/>
        </w:rPr>
        <w:t>1</w:t>
      </w:r>
      <w:r w:rsidR="00C87B2D" w:rsidRPr="004F6176">
        <w:rPr>
          <w:sz w:val="22"/>
          <w:szCs w:val="22"/>
        </w:rPr>
        <w:t>96</w:t>
      </w:r>
      <w:r w:rsidRPr="004F6176">
        <w:rPr>
          <w:sz w:val="22"/>
          <w:szCs w:val="22"/>
        </w:rPr>
        <w:t xml:space="preserve"> řad. Základní m</w:t>
      </w:r>
      <w:r w:rsidR="00D45F8F" w:rsidRPr="004F6176">
        <w:rPr>
          <w:sz w:val="22"/>
          <w:szCs w:val="22"/>
        </w:rPr>
        <w:t xml:space="preserve">odelová síť vytváří celkem </w:t>
      </w:r>
      <w:r w:rsidR="00C87B2D" w:rsidRPr="004F6176">
        <w:rPr>
          <w:sz w:val="22"/>
          <w:szCs w:val="22"/>
        </w:rPr>
        <w:t>38 612</w:t>
      </w:r>
      <w:r w:rsidRPr="004F6176">
        <w:rPr>
          <w:sz w:val="22"/>
          <w:szCs w:val="22"/>
        </w:rPr>
        <w:t xml:space="preserve"> modelových bu</w:t>
      </w:r>
      <w:r w:rsidR="008759FF" w:rsidRPr="004F6176">
        <w:rPr>
          <w:sz w:val="22"/>
          <w:szCs w:val="22"/>
        </w:rPr>
        <w:t>ně</w:t>
      </w:r>
      <w:r w:rsidRPr="004F6176">
        <w:rPr>
          <w:sz w:val="22"/>
          <w:szCs w:val="22"/>
        </w:rPr>
        <w:t xml:space="preserve">k. </w:t>
      </w:r>
      <w:r w:rsidR="00370A7A" w:rsidRPr="004F6176">
        <w:rPr>
          <w:sz w:val="22"/>
          <w:szCs w:val="22"/>
        </w:rPr>
        <w:t xml:space="preserve">Modelovací síť je </w:t>
      </w:r>
      <w:r w:rsidR="004322A2" w:rsidRPr="004F6176">
        <w:rPr>
          <w:sz w:val="22"/>
          <w:szCs w:val="22"/>
        </w:rPr>
        <w:t xml:space="preserve">zobrazena </w:t>
      </w:r>
      <w:r w:rsidR="00A42819" w:rsidRPr="004F6176">
        <w:rPr>
          <w:sz w:val="22"/>
          <w:szCs w:val="22"/>
        </w:rPr>
        <w:t xml:space="preserve">v příloze </w:t>
      </w:r>
      <w:r w:rsidR="0037451B" w:rsidRPr="004F6176">
        <w:rPr>
          <w:sz w:val="22"/>
          <w:szCs w:val="22"/>
        </w:rPr>
        <w:t>4</w:t>
      </w:r>
      <w:r w:rsidR="00370A7A" w:rsidRPr="004F6176">
        <w:rPr>
          <w:sz w:val="22"/>
          <w:szCs w:val="22"/>
        </w:rPr>
        <w:t>.</w:t>
      </w:r>
    </w:p>
    <w:p w:rsidR="008051E5" w:rsidRPr="004F6176" w:rsidRDefault="00723502" w:rsidP="005A1133">
      <w:pPr>
        <w:pStyle w:val="Nadpis2"/>
        <w:numPr>
          <w:ilvl w:val="0"/>
          <w:numId w:val="0"/>
        </w:numPr>
      </w:pPr>
      <w:bookmarkStart w:id="22" w:name="_Toc176000227"/>
      <w:bookmarkStart w:id="23" w:name="_Toc187653496"/>
      <w:bookmarkStart w:id="24" w:name="_Toc405386071"/>
      <w:bookmarkStart w:id="25" w:name="_Toc405386150"/>
      <w:r w:rsidRPr="004F6176">
        <w:t>3</w:t>
      </w:r>
      <w:r w:rsidR="008D2FE3" w:rsidRPr="004F6176">
        <w:t>.2</w:t>
      </w:r>
      <w:r w:rsidR="00C90449" w:rsidRPr="004F6176">
        <w:t xml:space="preserve"> </w:t>
      </w:r>
      <w:r w:rsidR="00DB2439" w:rsidRPr="004F6176">
        <w:tab/>
      </w:r>
      <w:r w:rsidR="008051E5" w:rsidRPr="004F6176">
        <w:t>Vstupní data</w:t>
      </w:r>
      <w:bookmarkEnd w:id="22"/>
      <w:bookmarkEnd w:id="23"/>
      <w:bookmarkEnd w:id="24"/>
      <w:bookmarkEnd w:id="25"/>
    </w:p>
    <w:p w:rsidR="008051E5" w:rsidRPr="004F6176" w:rsidRDefault="00723502" w:rsidP="005A1133">
      <w:pPr>
        <w:pStyle w:val="Nadpis3"/>
        <w:numPr>
          <w:ilvl w:val="0"/>
          <w:numId w:val="0"/>
        </w:numPr>
        <w:ind w:left="426"/>
      </w:pPr>
      <w:bookmarkStart w:id="26" w:name="_Toc187653497"/>
      <w:bookmarkStart w:id="27" w:name="_Toc405386072"/>
      <w:bookmarkStart w:id="28" w:name="_Toc405386151"/>
      <w:r w:rsidRPr="004F6176">
        <w:t>3</w:t>
      </w:r>
      <w:r w:rsidR="005B66E2" w:rsidRPr="004F6176">
        <w:t>.2.1</w:t>
      </w:r>
      <w:r w:rsidR="00DB2439" w:rsidRPr="004F6176">
        <w:tab/>
      </w:r>
      <w:r w:rsidR="008051E5" w:rsidRPr="004F6176">
        <w:t>Hydraulická část</w:t>
      </w:r>
      <w:bookmarkEnd w:id="26"/>
      <w:bookmarkEnd w:id="27"/>
      <w:bookmarkEnd w:id="28"/>
    </w:p>
    <w:p w:rsidR="008051E5" w:rsidRPr="004F6176" w:rsidRDefault="008051E5" w:rsidP="008051E5">
      <w:pPr>
        <w:pStyle w:val="Zkladntextodsazen"/>
        <w:rPr>
          <w:sz w:val="22"/>
          <w:szCs w:val="22"/>
        </w:rPr>
      </w:pPr>
      <w:r w:rsidRPr="004F6176">
        <w:rPr>
          <w:sz w:val="22"/>
          <w:szCs w:val="22"/>
        </w:rPr>
        <w:t xml:space="preserve">Jako základní vstupní modelová data byly zadány parametry uvedené níže. </w:t>
      </w:r>
    </w:p>
    <w:p w:rsidR="00FA6BD5" w:rsidRPr="004F6176" w:rsidRDefault="00FF5FC0" w:rsidP="00082EB9">
      <w:pPr>
        <w:pStyle w:val="Datum"/>
        <w:numPr>
          <w:ilvl w:val="0"/>
          <w:numId w:val="2"/>
        </w:numPr>
        <w:spacing w:before="60"/>
        <w:jc w:val="both"/>
        <w:rPr>
          <w:sz w:val="22"/>
          <w:szCs w:val="22"/>
        </w:rPr>
      </w:pPr>
      <w:r w:rsidRPr="004F6176">
        <w:rPr>
          <w:sz w:val="22"/>
          <w:szCs w:val="22"/>
        </w:rPr>
        <w:t>Koeficient h</w:t>
      </w:r>
      <w:r w:rsidR="008051E5" w:rsidRPr="004F6176">
        <w:rPr>
          <w:sz w:val="22"/>
          <w:szCs w:val="22"/>
        </w:rPr>
        <w:t>ydrauli</w:t>
      </w:r>
      <w:r w:rsidRPr="004F6176">
        <w:rPr>
          <w:sz w:val="22"/>
          <w:szCs w:val="22"/>
        </w:rPr>
        <w:t>cké vodivosti</w:t>
      </w:r>
      <w:r w:rsidR="009F7909" w:rsidRPr="004F6176">
        <w:rPr>
          <w:sz w:val="22"/>
          <w:szCs w:val="22"/>
        </w:rPr>
        <w:t xml:space="preserve"> </w:t>
      </w:r>
      <w:r w:rsidRPr="004F6176">
        <w:rPr>
          <w:sz w:val="22"/>
          <w:szCs w:val="22"/>
        </w:rPr>
        <w:t>(</w:t>
      </w:r>
      <w:r w:rsidR="009F7909" w:rsidRPr="004F6176">
        <w:rPr>
          <w:i/>
          <w:sz w:val="22"/>
          <w:szCs w:val="22"/>
        </w:rPr>
        <w:t>k</w:t>
      </w:r>
      <w:r w:rsidRPr="004F6176">
        <w:rPr>
          <w:sz w:val="22"/>
          <w:szCs w:val="22"/>
        </w:rPr>
        <w:t>)</w:t>
      </w:r>
      <w:r w:rsidR="009F7909" w:rsidRPr="004F6176">
        <w:rPr>
          <w:sz w:val="22"/>
          <w:szCs w:val="22"/>
        </w:rPr>
        <w:t xml:space="preserve"> - pro modelové výpočty byly </w:t>
      </w:r>
      <w:r w:rsidR="00230C44" w:rsidRPr="004F6176">
        <w:rPr>
          <w:sz w:val="22"/>
          <w:szCs w:val="22"/>
        </w:rPr>
        <w:t xml:space="preserve">primárně </w:t>
      </w:r>
      <w:r w:rsidR="009F7909" w:rsidRPr="004F6176">
        <w:rPr>
          <w:sz w:val="22"/>
          <w:szCs w:val="22"/>
        </w:rPr>
        <w:t>zadány hodnoty koeficientů h</w:t>
      </w:r>
      <w:r w:rsidR="00D94DEE" w:rsidRPr="004F6176">
        <w:rPr>
          <w:sz w:val="22"/>
          <w:szCs w:val="22"/>
        </w:rPr>
        <w:t xml:space="preserve">ydraulické vodivosti na základě </w:t>
      </w:r>
      <w:r w:rsidR="00230C44" w:rsidRPr="004F6176">
        <w:rPr>
          <w:sz w:val="22"/>
          <w:szCs w:val="22"/>
        </w:rPr>
        <w:t xml:space="preserve">výsledků hydrodynamických zkoušek, výsledků karotážního měření a geofyzikálního profilování a dále byly data upravovány dle </w:t>
      </w:r>
      <w:r w:rsidR="0042522C" w:rsidRPr="004F6176">
        <w:rPr>
          <w:sz w:val="22"/>
          <w:szCs w:val="22"/>
        </w:rPr>
        <w:t>odborného odhadu a znalostí širší zájmové oblasti</w:t>
      </w:r>
      <w:r w:rsidR="00230C44" w:rsidRPr="004F6176">
        <w:rPr>
          <w:sz w:val="22"/>
          <w:szCs w:val="22"/>
        </w:rPr>
        <w:t>;</w:t>
      </w:r>
      <w:r w:rsidRPr="004F6176">
        <w:rPr>
          <w:sz w:val="22"/>
          <w:szCs w:val="22"/>
        </w:rPr>
        <w:t xml:space="preserve"> </w:t>
      </w:r>
      <w:r w:rsidR="00230C44" w:rsidRPr="004F6176">
        <w:rPr>
          <w:sz w:val="22"/>
          <w:szCs w:val="22"/>
        </w:rPr>
        <w:t xml:space="preserve">hodnoty v modelu se pohybují v rozsahu </w:t>
      </w:r>
      <w:r w:rsidR="00751BAE" w:rsidRPr="004F6176">
        <w:rPr>
          <w:sz w:val="22"/>
          <w:szCs w:val="22"/>
        </w:rPr>
        <w:t>8</w:t>
      </w:r>
      <w:r w:rsidR="009F7909" w:rsidRPr="004F6176">
        <w:rPr>
          <w:sz w:val="22"/>
          <w:szCs w:val="22"/>
        </w:rPr>
        <w:t>.10</w:t>
      </w:r>
      <w:r w:rsidR="00230C44" w:rsidRPr="004F6176">
        <w:rPr>
          <w:sz w:val="22"/>
          <w:szCs w:val="22"/>
          <w:vertAlign w:val="superscript"/>
        </w:rPr>
        <w:t>−</w:t>
      </w:r>
      <w:r w:rsidR="00751BAE" w:rsidRPr="004F6176">
        <w:rPr>
          <w:sz w:val="22"/>
          <w:szCs w:val="22"/>
          <w:vertAlign w:val="superscript"/>
        </w:rPr>
        <w:t>5</w:t>
      </w:r>
      <w:r w:rsidR="009F7909" w:rsidRPr="004F6176">
        <w:rPr>
          <w:sz w:val="22"/>
          <w:szCs w:val="22"/>
        </w:rPr>
        <w:t xml:space="preserve"> m.s</w:t>
      </w:r>
      <w:r w:rsidR="00230C44" w:rsidRPr="004F6176">
        <w:rPr>
          <w:sz w:val="22"/>
          <w:szCs w:val="22"/>
          <w:vertAlign w:val="superscript"/>
        </w:rPr>
        <w:t>−</w:t>
      </w:r>
      <w:r w:rsidR="009F7909" w:rsidRPr="004F6176">
        <w:rPr>
          <w:sz w:val="22"/>
          <w:szCs w:val="22"/>
          <w:vertAlign w:val="superscript"/>
        </w:rPr>
        <w:t>1</w:t>
      </w:r>
      <w:r w:rsidR="00FA6BD5" w:rsidRPr="004F6176">
        <w:rPr>
          <w:sz w:val="22"/>
          <w:szCs w:val="22"/>
        </w:rPr>
        <w:t xml:space="preserve"> až </w:t>
      </w:r>
      <w:r w:rsidR="00717F6B" w:rsidRPr="004F6176">
        <w:rPr>
          <w:sz w:val="22"/>
          <w:szCs w:val="22"/>
        </w:rPr>
        <w:t>8</w:t>
      </w:r>
      <w:r w:rsidR="009F7909" w:rsidRPr="004F6176">
        <w:rPr>
          <w:sz w:val="22"/>
          <w:szCs w:val="22"/>
        </w:rPr>
        <w:t>.10</w:t>
      </w:r>
      <w:r w:rsidR="00230C44" w:rsidRPr="004F6176">
        <w:rPr>
          <w:sz w:val="22"/>
          <w:szCs w:val="22"/>
          <w:vertAlign w:val="superscript"/>
        </w:rPr>
        <w:t>−</w:t>
      </w:r>
      <w:r w:rsidR="00717F6B" w:rsidRPr="004F6176">
        <w:rPr>
          <w:sz w:val="22"/>
          <w:szCs w:val="22"/>
          <w:vertAlign w:val="superscript"/>
        </w:rPr>
        <w:t>8</w:t>
      </w:r>
      <w:r w:rsidR="009F7909" w:rsidRPr="004F6176">
        <w:rPr>
          <w:sz w:val="22"/>
          <w:szCs w:val="22"/>
        </w:rPr>
        <w:t xml:space="preserve"> m.s</w:t>
      </w:r>
      <w:r w:rsidR="00230C44" w:rsidRPr="004F6176">
        <w:rPr>
          <w:sz w:val="22"/>
          <w:szCs w:val="22"/>
          <w:vertAlign w:val="superscript"/>
        </w:rPr>
        <w:t>−</w:t>
      </w:r>
      <w:r w:rsidR="009F7909" w:rsidRPr="004F6176">
        <w:rPr>
          <w:sz w:val="22"/>
          <w:szCs w:val="22"/>
          <w:vertAlign w:val="superscript"/>
        </w:rPr>
        <w:t>1</w:t>
      </w:r>
      <w:r w:rsidR="009F7909" w:rsidRPr="004F6176">
        <w:rPr>
          <w:sz w:val="22"/>
          <w:szCs w:val="22"/>
        </w:rPr>
        <w:t>.</w:t>
      </w:r>
      <w:r w:rsidR="008051E5" w:rsidRPr="004F6176">
        <w:rPr>
          <w:sz w:val="22"/>
          <w:szCs w:val="22"/>
        </w:rPr>
        <w:t xml:space="preserve"> </w:t>
      </w:r>
      <w:r w:rsidR="00D24CCD" w:rsidRPr="004F6176">
        <w:rPr>
          <w:sz w:val="22"/>
          <w:szCs w:val="22"/>
        </w:rPr>
        <w:t>V oblastech tektonických poruch byly h</w:t>
      </w:r>
      <w:r w:rsidR="008051E5" w:rsidRPr="004F6176">
        <w:rPr>
          <w:sz w:val="22"/>
          <w:szCs w:val="22"/>
        </w:rPr>
        <w:t>odnoty k</w:t>
      </w:r>
      <w:r w:rsidR="008051E5" w:rsidRPr="004F6176">
        <w:rPr>
          <w:sz w:val="22"/>
          <w:szCs w:val="22"/>
          <w:vertAlign w:val="subscript"/>
        </w:rPr>
        <w:t>y</w:t>
      </w:r>
      <w:r w:rsidR="008051E5" w:rsidRPr="004F6176">
        <w:rPr>
          <w:sz w:val="22"/>
          <w:szCs w:val="22"/>
        </w:rPr>
        <w:t xml:space="preserve"> zadány ve stejné výši jako hodnoty k</w:t>
      </w:r>
      <w:r w:rsidR="008051E5" w:rsidRPr="004F6176">
        <w:rPr>
          <w:sz w:val="22"/>
          <w:szCs w:val="22"/>
          <w:vertAlign w:val="subscript"/>
        </w:rPr>
        <w:t>x</w:t>
      </w:r>
      <w:r w:rsidR="008051E5" w:rsidRPr="004F6176">
        <w:rPr>
          <w:sz w:val="22"/>
          <w:szCs w:val="22"/>
        </w:rPr>
        <w:t xml:space="preserve">, </w:t>
      </w:r>
      <w:r w:rsidR="00D24CCD" w:rsidRPr="004F6176">
        <w:rPr>
          <w:sz w:val="22"/>
          <w:szCs w:val="22"/>
        </w:rPr>
        <w:t xml:space="preserve">a </w:t>
      </w:r>
      <w:r w:rsidR="008051E5" w:rsidRPr="004F6176">
        <w:rPr>
          <w:sz w:val="22"/>
          <w:szCs w:val="22"/>
        </w:rPr>
        <w:t>hodnoty k</w:t>
      </w:r>
      <w:r w:rsidR="008051E5" w:rsidRPr="004F6176">
        <w:rPr>
          <w:sz w:val="22"/>
          <w:szCs w:val="22"/>
          <w:vertAlign w:val="subscript"/>
        </w:rPr>
        <w:t>z</w:t>
      </w:r>
      <w:r w:rsidR="008051E5" w:rsidRPr="004F6176">
        <w:rPr>
          <w:sz w:val="22"/>
          <w:szCs w:val="22"/>
        </w:rPr>
        <w:t xml:space="preserve"> byly voleny </w:t>
      </w:r>
      <w:r w:rsidR="00D24CCD" w:rsidRPr="004F6176">
        <w:rPr>
          <w:sz w:val="22"/>
          <w:szCs w:val="22"/>
        </w:rPr>
        <w:t>na úrovni 1/2 hodnot k</w:t>
      </w:r>
      <w:r w:rsidR="00D24CCD" w:rsidRPr="004F6176">
        <w:rPr>
          <w:sz w:val="22"/>
          <w:szCs w:val="22"/>
          <w:vertAlign w:val="subscript"/>
        </w:rPr>
        <w:t>x</w:t>
      </w:r>
      <w:r w:rsidR="00D24CCD" w:rsidRPr="004F6176">
        <w:rPr>
          <w:sz w:val="22"/>
          <w:szCs w:val="22"/>
        </w:rPr>
        <w:t>, jinde byly hodnoty k</w:t>
      </w:r>
      <w:r w:rsidR="00D24CCD" w:rsidRPr="004F6176">
        <w:rPr>
          <w:sz w:val="22"/>
          <w:szCs w:val="22"/>
          <w:vertAlign w:val="subscript"/>
        </w:rPr>
        <w:t>z</w:t>
      </w:r>
      <w:r w:rsidR="00D24CCD" w:rsidRPr="004F6176">
        <w:rPr>
          <w:sz w:val="22"/>
          <w:szCs w:val="22"/>
        </w:rPr>
        <w:t xml:space="preserve"> voleny </w:t>
      </w:r>
      <w:r w:rsidR="008051E5" w:rsidRPr="004F6176">
        <w:rPr>
          <w:sz w:val="22"/>
          <w:szCs w:val="22"/>
        </w:rPr>
        <w:t>ve výši 1/10 hodnot k</w:t>
      </w:r>
      <w:r w:rsidR="008051E5" w:rsidRPr="004F6176">
        <w:rPr>
          <w:sz w:val="22"/>
          <w:szCs w:val="22"/>
          <w:vertAlign w:val="subscript"/>
        </w:rPr>
        <w:t>x</w:t>
      </w:r>
      <w:r w:rsidR="0046187D" w:rsidRPr="004F6176">
        <w:rPr>
          <w:sz w:val="22"/>
          <w:szCs w:val="22"/>
        </w:rPr>
        <w:t>.</w:t>
      </w:r>
      <w:r w:rsidR="003B6067" w:rsidRPr="004F6176">
        <w:rPr>
          <w:sz w:val="22"/>
          <w:szCs w:val="22"/>
        </w:rPr>
        <w:t xml:space="preserve"> </w:t>
      </w:r>
    </w:p>
    <w:p w:rsidR="008051E5" w:rsidRPr="004F6176" w:rsidRDefault="008051E5" w:rsidP="008051E5">
      <w:pPr>
        <w:rPr>
          <w:sz w:val="12"/>
        </w:rPr>
      </w:pPr>
    </w:p>
    <w:p w:rsidR="008051E5" w:rsidRPr="004F6176" w:rsidRDefault="008051E5" w:rsidP="008051E5">
      <w:pPr>
        <w:pStyle w:val="Datum"/>
        <w:numPr>
          <w:ilvl w:val="0"/>
          <w:numId w:val="2"/>
        </w:numPr>
        <w:jc w:val="both"/>
        <w:rPr>
          <w:sz w:val="22"/>
          <w:szCs w:val="22"/>
        </w:rPr>
      </w:pPr>
      <w:r w:rsidRPr="004F6176">
        <w:rPr>
          <w:sz w:val="22"/>
          <w:szCs w:val="22"/>
        </w:rPr>
        <w:t>Hodnoty specifické storativity (S</w:t>
      </w:r>
      <w:r w:rsidRPr="004F6176">
        <w:rPr>
          <w:sz w:val="22"/>
          <w:szCs w:val="22"/>
          <w:vertAlign w:val="subscript"/>
        </w:rPr>
        <w:t>s</w:t>
      </w:r>
      <w:r w:rsidRPr="004F6176">
        <w:rPr>
          <w:sz w:val="22"/>
          <w:szCs w:val="22"/>
        </w:rPr>
        <w:t>), koeficientu volné zásobnosti (S</w:t>
      </w:r>
      <w:r w:rsidRPr="004F6176">
        <w:rPr>
          <w:sz w:val="22"/>
          <w:szCs w:val="22"/>
          <w:vertAlign w:val="subscript"/>
        </w:rPr>
        <w:t>y</w:t>
      </w:r>
      <w:r w:rsidR="0046187D" w:rsidRPr="004F6176">
        <w:rPr>
          <w:sz w:val="22"/>
          <w:szCs w:val="22"/>
        </w:rPr>
        <w:t xml:space="preserve">), </w:t>
      </w:r>
      <w:r w:rsidRPr="004F6176">
        <w:rPr>
          <w:sz w:val="22"/>
          <w:szCs w:val="22"/>
        </w:rPr>
        <w:t>celkové pórovitosti (n)</w:t>
      </w:r>
      <w:r w:rsidR="0046187D" w:rsidRPr="004F6176">
        <w:rPr>
          <w:sz w:val="22"/>
          <w:szCs w:val="22"/>
        </w:rPr>
        <w:t xml:space="preserve"> a </w:t>
      </w:r>
      <w:r w:rsidRPr="004F6176">
        <w:rPr>
          <w:sz w:val="22"/>
          <w:szCs w:val="22"/>
        </w:rPr>
        <w:t xml:space="preserve"> </w:t>
      </w:r>
      <w:r w:rsidR="0046187D" w:rsidRPr="004F6176">
        <w:rPr>
          <w:sz w:val="22"/>
          <w:szCs w:val="22"/>
        </w:rPr>
        <w:t>efektivní pórovitosti (n</w:t>
      </w:r>
      <w:r w:rsidR="0046187D" w:rsidRPr="004F6176">
        <w:rPr>
          <w:sz w:val="22"/>
          <w:szCs w:val="22"/>
          <w:vertAlign w:val="subscript"/>
        </w:rPr>
        <w:t>e</w:t>
      </w:r>
      <w:r w:rsidR="0046187D" w:rsidRPr="004F6176">
        <w:rPr>
          <w:sz w:val="22"/>
          <w:szCs w:val="22"/>
        </w:rPr>
        <w:t xml:space="preserve">) </w:t>
      </w:r>
      <w:r w:rsidRPr="004F6176">
        <w:rPr>
          <w:sz w:val="22"/>
          <w:szCs w:val="22"/>
        </w:rPr>
        <w:t>byly zadány jednotně pro celé modelové území v hodnotách:</w:t>
      </w:r>
      <w:r w:rsidRPr="004F6176">
        <w:rPr>
          <w:sz w:val="22"/>
          <w:szCs w:val="22"/>
        </w:rPr>
        <w:tab/>
      </w:r>
    </w:p>
    <w:p w:rsidR="008051E5" w:rsidRPr="004F6176" w:rsidRDefault="008051E5" w:rsidP="008051E5">
      <w:pPr>
        <w:pStyle w:val="Datum"/>
        <w:jc w:val="both"/>
        <w:rPr>
          <w:sz w:val="22"/>
          <w:szCs w:val="22"/>
          <w:vertAlign w:val="superscript"/>
        </w:rPr>
      </w:pPr>
      <w:r w:rsidRPr="004F6176">
        <w:rPr>
          <w:sz w:val="22"/>
          <w:szCs w:val="22"/>
        </w:rPr>
        <w:t xml:space="preserve">                    </w:t>
      </w:r>
      <w:r w:rsidRPr="004F6176">
        <w:rPr>
          <w:sz w:val="22"/>
          <w:szCs w:val="22"/>
        </w:rPr>
        <w:tab/>
      </w:r>
      <w:r w:rsidRPr="004F6176">
        <w:rPr>
          <w:sz w:val="22"/>
          <w:szCs w:val="22"/>
        </w:rPr>
        <w:tab/>
        <w:t>S</w:t>
      </w:r>
      <w:r w:rsidRPr="004F6176">
        <w:rPr>
          <w:sz w:val="22"/>
          <w:szCs w:val="22"/>
          <w:vertAlign w:val="subscript"/>
        </w:rPr>
        <w:t>s</w:t>
      </w:r>
      <w:r w:rsidR="00E24903" w:rsidRPr="004F6176">
        <w:rPr>
          <w:sz w:val="22"/>
          <w:szCs w:val="22"/>
        </w:rPr>
        <w:tab/>
      </w:r>
      <w:r w:rsidR="00E24903" w:rsidRPr="004F6176">
        <w:rPr>
          <w:sz w:val="22"/>
          <w:szCs w:val="22"/>
        </w:rPr>
        <w:tab/>
        <w:t>1.10</w:t>
      </w:r>
      <w:r w:rsidR="002D41A9" w:rsidRPr="004F6176">
        <w:rPr>
          <w:sz w:val="22"/>
          <w:szCs w:val="22"/>
          <w:vertAlign w:val="superscript"/>
        </w:rPr>
        <w:t>−</w:t>
      </w:r>
      <w:r w:rsidRPr="004F6176">
        <w:rPr>
          <w:sz w:val="22"/>
          <w:szCs w:val="22"/>
          <w:vertAlign w:val="superscript"/>
        </w:rPr>
        <w:t>5</w:t>
      </w:r>
      <w:r w:rsidRPr="004F6176">
        <w:rPr>
          <w:sz w:val="22"/>
          <w:szCs w:val="22"/>
        </w:rPr>
        <w:t xml:space="preserve"> 1.m</w:t>
      </w:r>
      <w:r w:rsidR="002D41A9" w:rsidRPr="004F6176">
        <w:rPr>
          <w:sz w:val="22"/>
          <w:szCs w:val="22"/>
          <w:vertAlign w:val="superscript"/>
        </w:rPr>
        <w:t>−</w:t>
      </w:r>
      <w:r w:rsidRPr="004F6176">
        <w:rPr>
          <w:sz w:val="22"/>
          <w:szCs w:val="22"/>
          <w:vertAlign w:val="superscript"/>
        </w:rPr>
        <w:t>1</w:t>
      </w:r>
    </w:p>
    <w:p w:rsidR="008051E5" w:rsidRPr="004F6176" w:rsidRDefault="008051E5" w:rsidP="008051E5">
      <w:pPr>
        <w:pStyle w:val="Datum"/>
        <w:ind w:left="1416" w:firstLine="708"/>
        <w:jc w:val="both"/>
        <w:rPr>
          <w:sz w:val="22"/>
          <w:szCs w:val="22"/>
        </w:rPr>
      </w:pPr>
      <w:r w:rsidRPr="004F6176">
        <w:rPr>
          <w:sz w:val="22"/>
          <w:szCs w:val="22"/>
        </w:rPr>
        <w:t>S</w:t>
      </w:r>
      <w:r w:rsidRPr="004F6176">
        <w:rPr>
          <w:sz w:val="22"/>
          <w:szCs w:val="22"/>
          <w:vertAlign w:val="subscript"/>
        </w:rPr>
        <w:t>y</w:t>
      </w:r>
      <w:r w:rsidR="00845069" w:rsidRPr="004F6176">
        <w:rPr>
          <w:sz w:val="22"/>
          <w:szCs w:val="22"/>
        </w:rPr>
        <w:tab/>
      </w:r>
      <w:r w:rsidR="00845069" w:rsidRPr="004F6176">
        <w:rPr>
          <w:sz w:val="22"/>
          <w:szCs w:val="22"/>
        </w:rPr>
        <w:tab/>
        <w:t>0,</w:t>
      </w:r>
      <w:r w:rsidR="00751BAE" w:rsidRPr="004F6176">
        <w:rPr>
          <w:sz w:val="22"/>
          <w:szCs w:val="22"/>
        </w:rPr>
        <w:t>15</w:t>
      </w:r>
    </w:p>
    <w:p w:rsidR="008051E5" w:rsidRPr="004F6176" w:rsidRDefault="008051E5" w:rsidP="008051E5">
      <w:pPr>
        <w:pStyle w:val="Datum"/>
        <w:ind w:firstLine="454"/>
        <w:jc w:val="both"/>
        <w:rPr>
          <w:sz w:val="22"/>
          <w:szCs w:val="22"/>
        </w:rPr>
      </w:pPr>
      <w:r w:rsidRPr="004F6176">
        <w:rPr>
          <w:sz w:val="22"/>
          <w:szCs w:val="22"/>
        </w:rPr>
        <w:t xml:space="preserve">    </w:t>
      </w:r>
      <w:r w:rsidR="00845069" w:rsidRPr="004F6176">
        <w:rPr>
          <w:sz w:val="22"/>
          <w:szCs w:val="22"/>
        </w:rPr>
        <w:t xml:space="preserve">                  </w:t>
      </w:r>
      <w:r w:rsidR="00845069" w:rsidRPr="004F6176">
        <w:rPr>
          <w:sz w:val="22"/>
          <w:szCs w:val="22"/>
        </w:rPr>
        <w:tab/>
        <w:t xml:space="preserve">n      </w:t>
      </w:r>
      <w:r w:rsidR="00845069" w:rsidRPr="004F6176">
        <w:rPr>
          <w:sz w:val="22"/>
          <w:szCs w:val="22"/>
        </w:rPr>
        <w:tab/>
      </w:r>
      <w:r w:rsidR="00845069" w:rsidRPr="004F6176">
        <w:rPr>
          <w:sz w:val="22"/>
          <w:szCs w:val="22"/>
        </w:rPr>
        <w:tab/>
        <w:t>0,</w:t>
      </w:r>
      <w:r w:rsidR="00233367" w:rsidRPr="004F6176">
        <w:rPr>
          <w:sz w:val="22"/>
          <w:szCs w:val="22"/>
        </w:rPr>
        <w:t>20</w:t>
      </w:r>
    </w:p>
    <w:p w:rsidR="0046187D" w:rsidRPr="004F6176" w:rsidRDefault="00D2488F" w:rsidP="0046187D">
      <w:pPr>
        <w:rPr>
          <w:sz w:val="22"/>
          <w:szCs w:val="22"/>
        </w:rPr>
      </w:pPr>
      <w:r w:rsidRPr="004F6176">
        <w:rPr>
          <w:sz w:val="22"/>
          <w:szCs w:val="22"/>
        </w:rPr>
        <w:tab/>
      </w:r>
      <w:r w:rsidR="0046187D" w:rsidRPr="004F6176">
        <w:rPr>
          <w:sz w:val="22"/>
          <w:szCs w:val="22"/>
        </w:rPr>
        <w:tab/>
      </w:r>
      <w:r w:rsidR="0046187D" w:rsidRPr="004F6176">
        <w:rPr>
          <w:sz w:val="22"/>
          <w:szCs w:val="22"/>
        </w:rPr>
        <w:tab/>
        <w:t>n</w:t>
      </w:r>
      <w:r w:rsidR="0046187D" w:rsidRPr="004F6176">
        <w:rPr>
          <w:sz w:val="22"/>
          <w:szCs w:val="22"/>
          <w:vertAlign w:val="subscript"/>
        </w:rPr>
        <w:t>e</w:t>
      </w:r>
      <w:r w:rsidR="0046187D" w:rsidRPr="004F6176">
        <w:rPr>
          <w:sz w:val="22"/>
          <w:szCs w:val="22"/>
          <w:vertAlign w:val="subscript"/>
        </w:rPr>
        <w:tab/>
      </w:r>
      <w:r w:rsidR="0046187D" w:rsidRPr="004F6176">
        <w:rPr>
          <w:sz w:val="22"/>
          <w:szCs w:val="22"/>
          <w:vertAlign w:val="subscript"/>
        </w:rPr>
        <w:tab/>
      </w:r>
      <w:r w:rsidR="004A5250" w:rsidRPr="004F6176">
        <w:rPr>
          <w:sz w:val="22"/>
          <w:szCs w:val="22"/>
        </w:rPr>
        <w:t>0,15</w:t>
      </w:r>
    </w:p>
    <w:p w:rsidR="008051E5" w:rsidRPr="004F6176" w:rsidRDefault="008051E5" w:rsidP="008051E5">
      <w:pPr>
        <w:rPr>
          <w:sz w:val="12"/>
        </w:rPr>
      </w:pPr>
    </w:p>
    <w:p w:rsidR="008051E5" w:rsidRPr="004F6176" w:rsidRDefault="008051E5" w:rsidP="00B8500E">
      <w:pPr>
        <w:pStyle w:val="Datum"/>
        <w:numPr>
          <w:ilvl w:val="0"/>
          <w:numId w:val="2"/>
        </w:numPr>
        <w:jc w:val="both"/>
        <w:rPr>
          <w:sz w:val="22"/>
          <w:szCs w:val="22"/>
        </w:rPr>
      </w:pPr>
      <w:r w:rsidRPr="004F6176">
        <w:rPr>
          <w:sz w:val="22"/>
          <w:szCs w:val="22"/>
        </w:rPr>
        <w:t xml:space="preserve">Hladiny podzemní vody – </w:t>
      </w:r>
      <w:r w:rsidR="00B343DA" w:rsidRPr="004F6176">
        <w:rPr>
          <w:sz w:val="22"/>
          <w:szCs w:val="22"/>
        </w:rPr>
        <w:t xml:space="preserve"> pro modelové výpočty bylo vycházeno z monitoringu hladin </w:t>
      </w:r>
      <w:r w:rsidR="002D0A00" w:rsidRPr="004F6176">
        <w:rPr>
          <w:sz w:val="22"/>
          <w:szCs w:val="22"/>
        </w:rPr>
        <w:t>prováděných na lokalitě</w:t>
      </w:r>
      <w:r w:rsidR="004A5250" w:rsidRPr="004F6176">
        <w:rPr>
          <w:sz w:val="22"/>
          <w:szCs w:val="22"/>
        </w:rPr>
        <w:t xml:space="preserve">. </w:t>
      </w:r>
      <w:r w:rsidR="00874633" w:rsidRPr="004F6176">
        <w:rPr>
          <w:sz w:val="22"/>
          <w:szCs w:val="22"/>
        </w:rPr>
        <w:t>Jako vstupní dat</w:t>
      </w:r>
      <w:r w:rsidR="00776849" w:rsidRPr="004F6176">
        <w:rPr>
          <w:sz w:val="22"/>
          <w:szCs w:val="22"/>
        </w:rPr>
        <w:t>a modelového řešení</w:t>
      </w:r>
      <w:r w:rsidR="000F7A45" w:rsidRPr="004F6176">
        <w:rPr>
          <w:sz w:val="22"/>
          <w:szCs w:val="22"/>
        </w:rPr>
        <w:t xml:space="preserve"> </w:t>
      </w:r>
      <w:r w:rsidR="00776849" w:rsidRPr="004F6176">
        <w:rPr>
          <w:sz w:val="22"/>
          <w:szCs w:val="22"/>
        </w:rPr>
        <w:t>byly použity</w:t>
      </w:r>
      <w:r w:rsidR="00175920" w:rsidRPr="004F6176">
        <w:rPr>
          <w:sz w:val="22"/>
          <w:szCs w:val="22"/>
        </w:rPr>
        <w:t xml:space="preserve"> průměrné</w:t>
      </w:r>
      <w:r w:rsidR="00776849" w:rsidRPr="004F6176">
        <w:rPr>
          <w:sz w:val="22"/>
          <w:szCs w:val="22"/>
        </w:rPr>
        <w:t xml:space="preserve"> </w:t>
      </w:r>
      <w:r w:rsidR="003D7D40" w:rsidRPr="004F6176">
        <w:rPr>
          <w:sz w:val="22"/>
          <w:szCs w:val="22"/>
        </w:rPr>
        <w:t>hladiny</w:t>
      </w:r>
      <w:r w:rsidR="00AA3549" w:rsidRPr="004F6176">
        <w:rPr>
          <w:sz w:val="22"/>
          <w:szCs w:val="22"/>
        </w:rPr>
        <w:t xml:space="preserve"> za II. čtvrtletí (duben</w:t>
      </w:r>
      <w:r w:rsidR="002E4C25" w:rsidRPr="004F6176">
        <w:rPr>
          <w:sz w:val="22"/>
          <w:szCs w:val="22"/>
        </w:rPr>
        <w:t xml:space="preserve"> – </w:t>
      </w:r>
      <w:r w:rsidR="00C233C9" w:rsidRPr="004F6176">
        <w:rPr>
          <w:sz w:val="22"/>
          <w:szCs w:val="22"/>
        </w:rPr>
        <w:t>červen</w:t>
      </w:r>
      <w:r w:rsidR="002E4C25" w:rsidRPr="004F6176">
        <w:rPr>
          <w:sz w:val="22"/>
          <w:szCs w:val="22"/>
        </w:rPr>
        <w:t>) roku</w:t>
      </w:r>
      <w:r w:rsidR="007D1E52" w:rsidRPr="004F6176">
        <w:rPr>
          <w:sz w:val="22"/>
          <w:szCs w:val="22"/>
        </w:rPr>
        <w:t xml:space="preserve"> </w:t>
      </w:r>
      <w:r w:rsidR="00717F6B" w:rsidRPr="004F6176">
        <w:rPr>
          <w:sz w:val="22"/>
          <w:szCs w:val="22"/>
        </w:rPr>
        <w:t>201</w:t>
      </w:r>
      <w:r w:rsidR="00C233C9" w:rsidRPr="004F6176">
        <w:rPr>
          <w:sz w:val="22"/>
          <w:szCs w:val="22"/>
        </w:rPr>
        <w:t>6</w:t>
      </w:r>
      <w:r w:rsidR="007D1E52" w:rsidRPr="004F6176">
        <w:rPr>
          <w:sz w:val="22"/>
          <w:szCs w:val="22"/>
        </w:rPr>
        <w:t xml:space="preserve">. </w:t>
      </w:r>
      <w:r w:rsidR="00F26A40" w:rsidRPr="004F6176">
        <w:rPr>
          <w:sz w:val="22"/>
          <w:szCs w:val="22"/>
        </w:rPr>
        <w:t xml:space="preserve">Situace </w:t>
      </w:r>
      <w:r w:rsidR="00D24535" w:rsidRPr="004F6176">
        <w:rPr>
          <w:sz w:val="22"/>
          <w:szCs w:val="22"/>
        </w:rPr>
        <w:t xml:space="preserve">modelových </w:t>
      </w:r>
      <w:r w:rsidR="00F26A40" w:rsidRPr="004F6176">
        <w:rPr>
          <w:sz w:val="22"/>
          <w:szCs w:val="22"/>
        </w:rPr>
        <w:t xml:space="preserve">hydroizohyps je znázorněna v příloze č. 6. </w:t>
      </w:r>
      <w:r w:rsidR="00FA7104" w:rsidRPr="004F6176">
        <w:rPr>
          <w:sz w:val="22"/>
          <w:szCs w:val="22"/>
        </w:rPr>
        <w:t>D</w:t>
      </w:r>
      <w:r w:rsidRPr="004F6176">
        <w:rPr>
          <w:sz w:val="22"/>
          <w:szCs w:val="22"/>
        </w:rPr>
        <w:t>ata sloužila ke</w:t>
      </w:r>
      <w:r w:rsidR="00771AEE" w:rsidRPr="004F6176">
        <w:rPr>
          <w:sz w:val="22"/>
          <w:szCs w:val="22"/>
        </w:rPr>
        <w:t> </w:t>
      </w:r>
      <w:r w:rsidRPr="004F6176">
        <w:rPr>
          <w:sz w:val="22"/>
          <w:szCs w:val="22"/>
        </w:rPr>
        <w:t xml:space="preserve">kalibraci hydraulické části modelového řešení. Úrovně HPV všech sledovaných objektů </w:t>
      </w:r>
      <w:r w:rsidR="007F43BD" w:rsidRPr="004F6176">
        <w:rPr>
          <w:sz w:val="22"/>
          <w:szCs w:val="22"/>
        </w:rPr>
        <w:t>uvádíme v </w:t>
      </w:r>
      <w:r w:rsidR="0010083E" w:rsidRPr="004F6176">
        <w:rPr>
          <w:sz w:val="22"/>
          <w:szCs w:val="22"/>
        </w:rPr>
        <w:t>příloze č. 1</w:t>
      </w:r>
      <w:r w:rsidR="007E68EE" w:rsidRPr="004F6176">
        <w:rPr>
          <w:sz w:val="22"/>
          <w:szCs w:val="22"/>
        </w:rPr>
        <w:t>2</w:t>
      </w:r>
      <w:r w:rsidRPr="004F6176">
        <w:rPr>
          <w:sz w:val="22"/>
          <w:szCs w:val="22"/>
        </w:rPr>
        <w:t>.</w:t>
      </w:r>
    </w:p>
    <w:p w:rsidR="0082797D" w:rsidRPr="004F6176" w:rsidRDefault="0082797D" w:rsidP="0082797D">
      <w:pPr>
        <w:rPr>
          <w:sz w:val="22"/>
          <w:szCs w:val="22"/>
        </w:rPr>
      </w:pPr>
    </w:p>
    <w:p w:rsidR="008051E5" w:rsidRPr="004F6176" w:rsidRDefault="008051E5" w:rsidP="009F577D">
      <w:pPr>
        <w:numPr>
          <w:ilvl w:val="0"/>
          <w:numId w:val="4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4F6176">
        <w:rPr>
          <w:sz w:val="22"/>
          <w:szCs w:val="22"/>
        </w:rPr>
        <w:t>Ok</w:t>
      </w:r>
      <w:r w:rsidR="00112215" w:rsidRPr="004F6176">
        <w:rPr>
          <w:sz w:val="22"/>
          <w:szCs w:val="22"/>
        </w:rPr>
        <w:t xml:space="preserve">rajové podmínky (viz příloha </w:t>
      </w:r>
      <w:r w:rsidR="00577823" w:rsidRPr="004F6176">
        <w:rPr>
          <w:sz w:val="22"/>
          <w:szCs w:val="22"/>
        </w:rPr>
        <w:t xml:space="preserve">č. </w:t>
      </w:r>
      <w:r w:rsidR="007E68EE" w:rsidRPr="004F6176">
        <w:rPr>
          <w:sz w:val="22"/>
          <w:szCs w:val="22"/>
        </w:rPr>
        <w:t>4</w:t>
      </w:r>
      <w:r w:rsidRPr="004F6176">
        <w:rPr>
          <w:sz w:val="22"/>
          <w:szCs w:val="22"/>
        </w:rPr>
        <w:t>):</w:t>
      </w:r>
    </w:p>
    <w:p w:rsidR="00F75D57" w:rsidRPr="004F6176" w:rsidRDefault="00F75D57" w:rsidP="00F75D57">
      <w:pPr>
        <w:pStyle w:val="Zkladntext"/>
        <w:numPr>
          <w:ilvl w:val="0"/>
          <w:numId w:val="3"/>
        </w:numPr>
        <w:spacing w:before="60"/>
        <w:ind w:left="908" w:hanging="454"/>
        <w:jc w:val="both"/>
        <w:rPr>
          <w:b w:val="0"/>
          <w:i w:val="0"/>
          <w:sz w:val="22"/>
          <w:szCs w:val="22"/>
        </w:rPr>
      </w:pPr>
      <w:r w:rsidRPr="004F6176">
        <w:rPr>
          <w:b w:val="0"/>
          <w:i w:val="0"/>
          <w:sz w:val="22"/>
          <w:szCs w:val="22"/>
        </w:rPr>
        <w:t>Na odtoku podzemní vody z modelové oblasti je definována podmínka 1. typu (Dirichletova podmínka) na úrovni 222 m n.m; tato podmínka je dále aplikována na části jihozápadní hranice na vstupu podzemních vod podél toku Bylanka – zde je určen konstantní přítok na úrovni 26</w:t>
      </w:r>
      <w:r w:rsidR="00751BAE" w:rsidRPr="004F6176">
        <w:rPr>
          <w:b w:val="0"/>
          <w:i w:val="0"/>
          <w:sz w:val="22"/>
          <w:szCs w:val="22"/>
        </w:rPr>
        <w:t>4</w:t>
      </w:r>
      <w:r w:rsidRPr="004F6176">
        <w:rPr>
          <w:b w:val="0"/>
          <w:i w:val="0"/>
          <w:sz w:val="22"/>
          <w:szCs w:val="22"/>
        </w:rPr>
        <w:t>–258 m n.m,</w:t>
      </w:r>
    </w:p>
    <w:p w:rsidR="0002179F" w:rsidRPr="004F6176" w:rsidRDefault="00BD66A6" w:rsidP="003B39C6">
      <w:pPr>
        <w:pStyle w:val="Zkladntext"/>
        <w:numPr>
          <w:ilvl w:val="0"/>
          <w:numId w:val="3"/>
        </w:numPr>
        <w:spacing w:before="60"/>
        <w:ind w:left="908" w:hanging="454"/>
        <w:jc w:val="both"/>
        <w:rPr>
          <w:b w:val="0"/>
          <w:i w:val="0"/>
          <w:sz w:val="22"/>
          <w:szCs w:val="22"/>
        </w:rPr>
      </w:pPr>
      <w:r w:rsidRPr="004F6176">
        <w:rPr>
          <w:b w:val="0"/>
          <w:i w:val="0"/>
          <w:sz w:val="22"/>
          <w:szCs w:val="22"/>
        </w:rPr>
        <w:t>Jihovýchodní</w:t>
      </w:r>
      <w:r w:rsidR="008C6CB5" w:rsidRPr="004F6176">
        <w:rPr>
          <w:b w:val="0"/>
          <w:i w:val="0"/>
          <w:sz w:val="22"/>
          <w:szCs w:val="22"/>
        </w:rPr>
        <w:t xml:space="preserve"> hranici</w:t>
      </w:r>
      <w:r w:rsidR="008C3677" w:rsidRPr="004F6176">
        <w:rPr>
          <w:b w:val="0"/>
          <w:i w:val="0"/>
          <w:sz w:val="22"/>
          <w:szCs w:val="22"/>
        </w:rPr>
        <w:t xml:space="preserve"> modelové oblasti tvoří okrajová podmínka </w:t>
      </w:r>
      <w:r w:rsidR="008C5616" w:rsidRPr="004F6176">
        <w:rPr>
          <w:b w:val="0"/>
          <w:i w:val="0"/>
          <w:sz w:val="22"/>
          <w:szCs w:val="22"/>
        </w:rPr>
        <w:t>3. typu „řeka</w:t>
      </w:r>
      <w:r w:rsidR="008C3677" w:rsidRPr="004F6176">
        <w:rPr>
          <w:b w:val="0"/>
          <w:i w:val="0"/>
          <w:sz w:val="22"/>
          <w:szCs w:val="22"/>
        </w:rPr>
        <w:t xml:space="preserve">“. </w:t>
      </w:r>
      <w:r w:rsidR="008051E5" w:rsidRPr="004F6176">
        <w:rPr>
          <w:b w:val="0"/>
          <w:i w:val="0"/>
          <w:sz w:val="22"/>
          <w:szCs w:val="22"/>
        </w:rPr>
        <w:t>Hladina v</w:t>
      </w:r>
      <w:r w:rsidR="008C6CB5" w:rsidRPr="004F6176">
        <w:rPr>
          <w:b w:val="0"/>
          <w:i w:val="0"/>
          <w:sz w:val="22"/>
          <w:szCs w:val="22"/>
        </w:rPr>
        <w:t> </w:t>
      </w:r>
      <w:r w:rsidRPr="004F6176">
        <w:rPr>
          <w:b w:val="0"/>
          <w:i w:val="0"/>
          <w:sz w:val="22"/>
          <w:szCs w:val="22"/>
        </w:rPr>
        <w:t>Chrudimce</w:t>
      </w:r>
      <w:r w:rsidR="008C3677" w:rsidRPr="004F6176">
        <w:rPr>
          <w:b w:val="0"/>
          <w:i w:val="0"/>
          <w:sz w:val="22"/>
          <w:szCs w:val="22"/>
        </w:rPr>
        <w:t xml:space="preserve"> </w:t>
      </w:r>
      <w:r w:rsidR="008051E5" w:rsidRPr="004F6176">
        <w:rPr>
          <w:b w:val="0"/>
          <w:i w:val="0"/>
          <w:sz w:val="22"/>
          <w:szCs w:val="22"/>
        </w:rPr>
        <w:t xml:space="preserve">byla zadána </w:t>
      </w:r>
      <w:r w:rsidRPr="004F6176">
        <w:rPr>
          <w:b w:val="0"/>
          <w:i w:val="0"/>
          <w:sz w:val="22"/>
          <w:szCs w:val="22"/>
        </w:rPr>
        <w:t xml:space="preserve">na úrovni </w:t>
      </w:r>
      <w:r w:rsidR="0002179F" w:rsidRPr="004F6176">
        <w:rPr>
          <w:b w:val="0"/>
          <w:i w:val="0"/>
          <w:sz w:val="22"/>
          <w:szCs w:val="22"/>
        </w:rPr>
        <w:t>250</w:t>
      </w:r>
      <w:r w:rsidRPr="004F6176">
        <w:rPr>
          <w:b w:val="0"/>
          <w:i w:val="0"/>
          <w:sz w:val="22"/>
          <w:szCs w:val="22"/>
        </w:rPr>
        <w:t>–24</w:t>
      </w:r>
      <w:r w:rsidR="0002179F" w:rsidRPr="004F6176">
        <w:rPr>
          <w:b w:val="0"/>
          <w:i w:val="0"/>
          <w:sz w:val="22"/>
          <w:szCs w:val="22"/>
        </w:rPr>
        <w:t>0 </w:t>
      </w:r>
      <w:r w:rsidRPr="004F6176">
        <w:rPr>
          <w:b w:val="0"/>
          <w:i w:val="0"/>
          <w:sz w:val="22"/>
          <w:szCs w:val="22"/>
        </w:rPr>
        <w:t>m</w:t>
      </w:r>
      <w:r w:rsidR="0002179F" w:rsidRPr="004F6176">
        <w:rPr>
          <w:b w:val="0"/>
          <w:i w:val="0"/>
          <w:sz w:val="22"/>
          <w:szCs w:val="22"/>
        </w:rPr>
        <w:t> </w:t>
      </w:r>
      <w:r w:rsidRPr="004F6176">
        <w:rPr>
          <w:b w:val="0"/>
          <w:i w:val="0"/>
          <w:sz w:val="22"/>
          <w:szCs w:val="22"/>
        </w:rPr>
        <w:t xml:space="preserve">n.m. se spádem od jihozápadu k severovýchodu. Šířka toku byla odhadnuta na </w:t>
      </w:r>
      <w:r w:rsidR="0002179F" w:rsidRPr="004F6176">
        <w:rPr>
          <w:b w:val="0"/>
          <w:i w:val="0"/>
          <w:sz w:val="22"/>
          <w:szCs w:val="22"/>
        </w:rPr>
        <w:t>10</w:t>
      </w:r>
      <w:r w:rsidRPr="004F6176">
        <w:rPr>
          <w:b w:val="0"/>
          <w:i w:val="0"/>
          <w:sz w:val="22"/>
          <w:szCs w:val="22"/>
        </w:rPr>
        <w:t xml:space="preserve"> m, s hloubkou toku 0,</w:t>
      </w:r>
      <w:r w:rsidR="0002179F" w:rsidRPr="004F6176">
        <w:rPr>
          <w:b w:val="0"/>
          <w:i w:val="0"/>
          <w:sz w:val="22"/>
          <w:szCs w:val="22"/>
        </w:rPr>
        <w:t>30</w:t>
      </w:r>
      <w:r w:rsidRPr="004F6176">
        <w:rPr>
          <w:b w:val="0"/>
          <w:i w:val="0"/>
          <w:sz w:val="22"/>
          <w:szCs w:val="22"/>
        </w:rPr>
        <w:t xml:space="preserve"> m.</w:t>
      </w:r>
      <w:r w:rsidR="00F75D57" w:rsidRPr="004F6176">
        <w:rPr>
          <w:b w:val="0"/>
          <w:i w:val="0"/>
          <w:sz w:val="22"/>
          <w:szCs w:val="22"/>
        </w:rPr>
        <w:t xml:space="preserve"> </w:t>
      </w:r>
      <w:r w:rsidR="0002179F" w:rsidRPr="004F6176">
        <w:rPr>
          <w:b w:val="0"/>
          <w:i w:val="0"/>
          <w:sz w:val="22"/>
          <w:szCs w:val="22"/>
        </w:rPr>
        <w:t>Také část jihozápadní hranice je tvořena okrajovou podmínkou 3. typu – a to na vodoteči Markovický potok; od jihu (tj. po soutoku se Stolanským potokem) směrem k severu je daná úroveň 25</w:t>
      </w:r>
      <w:r w:rsidR="00751BAE" w:rsidRPr="004F6176">
        <w:rPr>
          <w:b w:val="0"/>
          <w:i w:val="0"/>
          <w:sz w:val="22"/>
          <w:szCs w:val="22"/>
        </w:rPr>
        <w:t>7</w:t>
      </w:r>
      <w:r w:rsidR="0002179F" w:rsidRPr="004F6176">
        <w:rPr>
          <w:b w:val="0"/>
          <w:i w:val="0"/>
          <w:sz w:val="22"/>
          <w:szCs w:val="22"/>
        </w:rPr>
        <w:t>–252 m </w:t>
      </w:r>
      <w:r w:rsidR="00F75D57" w:rsidRPr="004F6176">
        <w:rPr>
          <w:b w:val="0"/>
          <w:i w:val="0"/>
          <w:sz w:val="22"/>
          <w:szCs w:val="22"/>
        </w:rPr>
        <w:t>n.m,</w:t>
      </w:r>
    </w:p>
    <w:p w:rsidR="00414E30" w:rsidRPr="004F6176" w:rsidRDefault="00414E30" w:rsidP="00D3536D">
      <w:pPr>
        <w:pStyle w:val="Zkladntext"/>
        <w:numPr>
          <w:ilvl w:val="0"/>
          <w:numId w:val="3"/>
        </w:numPr>
        <w:spacing w:before="60"/>
        <w:ind w:left="908" w:hanging="454"/>
        <w:jc w:val="both"/>
        <w:rPr>
          <w:b w:val="0"/>
          <w:i w:val="0"/>
          <w:sz w:val="22"/>
          <w:szCs w:val="22"/>
        </w:rPr>
      </w:pPr>
      <w:r w:rsidRPr="004F6176">
        <w:rPr>
          <w:b w:val="0"/>
          <w:i w:val="0"/>
          <w:sz w:val="22"/>
          <w:szCs w:val="22"/>
        </w:rPr>
        <w:lastRenderedPageBreak/>
        <w:t xml:space="preserve">Na zbylých okrajových částech modelové oblasti je aplikována Neumannova </w:t>
      </w:r>
      <w:r w:rsidR="00751BAE" w:rsidRPr="004F6176">
        <w:rPr>
          <w:b w:val="0"/>
          <w:i w:val="0"/>
          <w:sz w:val="22"/>
          <w:szCs w:val="22"/>
        </w:rPr>
        <w:t xml:space="preserve">okrajová </w:t>
      </w:r>
      <w:r w:rsidRPr="004F6176">
        <w:rPr>
          <w:b w:val="0"/>
          <w:i w:val="0"/>
          <w:sz w:val="22"/>
          <w:szCs w:val="22"/>
        </w:rPr>
        <w:t>podmínka nulového průtoku</w:t>
      </w:r>
      <w:r w:rsidR="00F75D57" w:rsidRPr="004F6176">
        <w:rPr>
          <w:b w:val="0"/>
          <w:i w:val="0"/>
          <w:sz w:val="22"/>
          <w:szCs w:val="22"/>
        </w:rPr>
        <w:t xml:space="preserve"> (2. typ</w:t>
      </w:r>
      <w:r w:rsidR="00AC5FEB" w:rsidRPr="004F6176">
        <w:rPr>
          <w:b w:val="0"/>
          <w:i w:val="0"/>
          <w:sz w:val="22"/>
          <w:szCs w:val="22"/>
        </w:rPr>
        <w:t xml:space="preserve"> okrajové podmínky</w:t>
      </w:r>
      <w:r w:rsidR="00F75D57" w:rsidRPr="004F6176">
        <w:rPr>
          <w:b w:val="0"/>
          <w:i w:val="0"/>
          <w:sz w:val="22"/>
          <w:szCs w:val="22"/>
        </w:rPr>
        <w:t>)</w:t>
      </w:r>
      <w:r w:rsidR="00AC5FEB" w:rsidRPr="004F6176">
        <w:rPr>
          <w:b w:val="0"/>
          <w:i w:val="0"/>
          <w:sz w:val="22"/>
          <w:szCs w:val="22"/>
        </w:rPr>
        <w:t>,</w:t>
      </w:r>
    </w:p>
    <w:p w:rsidR="003114B0" w:rsidRPr="004F6176" w:rsidRDefault="00C72697" w:rsidP="003114B0">
      <w:pPr>
        <w:pStyle w:val="Zkladntext"/>
        <w:numPr>
          <w:ilvl w:val="0"/>
          <w:numId w:val="3"/>
        </w:numPr>
        <w:spacing w:before="60"/>
        <w:ind w:left="908" w:hanging="454"/>
        <w:jc w:val="both"/>
        <w:rPr>
          <w:b w:val="0"/>
          <w:i w:val="0"/>
          <w:sz w:val="22"/>
          <w:szCs w:val="22"/>
        </w:rPr>
      </w:pPr>
      <w:r w:rsidRPr="004F6176">
        <w:rPr>
          <w:b w:val="0"/>
          <w:i w:val="0"/>
          <w:sz w:val="22"/>
          <w:szCs w:val="22"/>
        </w:rPr>
        <w:t>N</w:t>
      </w:r>
      <w:r w:rsidR="008051E5" w:rsidRPr="004F6176">
        <w:rPr>
          <w:b w:val="0"/>
          <w:i w:val="0"/>
          <w:sz w:val="22"/>
          <w:szCs w:val="22"/>
        </w:rPr>
        <w:t xml:space="preserve">a </w:t>
      </w:r>
      <w:r w:rsidR="00BD0234" w:rsidRPr="004F6176">
        <w:rPr>
          <w:b w:val="0"/>
          <w:i w:val="0"/>
          <w:sz w:val="22"/>
          <w:szCs w:val="22"/>
        </w:rPr>
        <w:t>celé modelové území</w:t>
      </w:r>
      <w:r w:rsidR="005674F0" w:rsidRPr="004F6176">
        <w:rPr>
          <w:b w:val="0"/>
          <w:i w:val="0"/>
          <w:sz w:val="22"/>
          <w:szCs w:val="22"/>
        </w:rPr>
        <w:t>, vyjma zastavěných a zpevněných ploch</w:t>
      </w:r>
      <w:r w:rsidR="00D95D1B" w:rsidRPr="004F6176">
        <w:rPr>
          <w:b w:val="0"/>
          <w:i w:val="0"/>
          <w:sz w:val="22"/>
          <w:szCs w:val="22"/>
        </w:rPr>
        <w:t xml:space="preserve"> (30 mm/rok)</w:t>
      </w:r>
      <w:r w:rsidR="008051E5" w:rsidRPr="004F6176">
        <w:rPr>
          <w:b w:val="0"/>
          <w:i w:val="0"/>
          <w:sz w:val="22"/>
          <w:szCs w:val="22"/>
        </w:rPr>
        <w:t>, byla zadána hraniční podmínka typu infiltrace podílu srážek</w:t>
      </w:r>
      <w:r w:rsidR="00851733" w:rsidRPr="004F6176">
        <w:rPr>
          <w:b w:val="0"/>
          <w:i w:val="0"/>
          <w:sz w:val="22"/>
          <w:szCs w:val="22"/>
        </w:rPr>
        <w:t xml:space="preserve"> na úrovni 95 mm/rok</w:t>
      </w:r>
      <w:r w:rsidR="005A4F91" w:rsidRPr="004F6176">
        <w:rPr>
          <w:b w:val="0"/>
          <w:i w:val="0"/>
          <w:sz w:val="22"/>
          <w:szCs w:val="22"/>
        </w:rPr>
        <w:t>.</w:t>
      </w:r>
    </w:p>
    <w:p w:rsidR="008051E5" w:rsidRPr="004F6176" w:rsidRDefault="00723502" w:rsidP="001E3E21">
      <w:pPr>
        <w:pStyle w:val="Nadpis3"/>
        <w:numPr>
          <w:ilvl w:val="0"/>
          <w:numId w:val="0"/>
        </w:numPr>
      </w:pPr>
      <w:bookmarkStart w:id="29" w:name="_Toc176000229"/>
      <w:bookmarkStart w:id="30" w:name="_Toc187653498"/>
      <w:bookmarkStart w:id="31" w:name="_Toc405386073"/>
      <w:bookmarkStart w:id="32" w:name="_Toc405386152"/>
      <w:r w:rsidRPr="004F6176">
        <w:t>3</w:t>
      </w:r>
      <w:r w:rsidR="005B66E2" w:rsidRPr="004F6176">
        <w:t>.2.2</w:t>
      </w:r>
      <w:r w:rsidR="00DB2439" w:rsidRPr="004F6176">
        <w:tab/>
      </w:r>
      <w:r w:rsidR="008051E5" w:rsidRPr="004F6176">
        <w:t>Transportní část</w:t>
      </w:r>
      <w:bookmarkEnd w:id="29"/>
      <w:bookmarkEnd w:id="30"/>
      <w:bookmarkEnd w:id="31"/>
      <w:bookmarkEnd w:id="32"/>
    </w:p>
    <w:p w:rsidR="00751BAE" w:rsidRPr="004F6176" w:rsidRDefault="008051E5" w:rsidP="008051E5">
      <w:pPr>
        <w:pStyle w:val="Zkladntextodsazen"/>
        <w:rPr>
          <w:sz w:val="22"/>
          <w:szCs w:val="22"/>
        </w:rPr>
      </w:pPr>
      <w:r w:rsidRPr="004F6176">
        <w:rPr>
          <w:sz w:val="22"/>
          <w:szCs w:val="22"/>
        </w:rPr>
        <w:t xml:space="preserve">V transportní části modelového řešení byl simulován transport </w:t>
      </w:r>
      <w:r w:rsidR="0053384E" w:rsidRPr="004F6176">
        <w:rPr>
          <w:sz w:val="22"/>
          <w:szCs w:val="22"/>
        </w:rPr>
        <w:t xml:space="preserve">chlorovaných uhlovodíků v ukazateli </w:t>
      </w:r>
      <w:r w:rsidR="00B520AB" w:rsidRPr="004F6176">
        <w:rPr>
          <w:sz w:val="22"/>
          <w:szCs w:val="22"/>
        </w:rPr>
        <w:t xml:space="preserve">perchlorethylen (dále </w:t>
      </w:r>
      <w:r w:rsidR="007D1E52" w:rsidRPr="004F6176">
        <w:rPr>
          <w:sz w:val="22"/>
          <w:szCs w:val="22"/>
        </w:rPr>
        <w:t>PCE</w:t>
      </w:r>
      <w:r w:rsidR="00B520AB" w:rsidRPr="004F6176">
        <w:rPr>
          <w:sz w:val="22"/>
          <w:szCs w:val="22"/>
        </w:rPr>
        <w:t>)</w:t>
      </w:r>
      <w:r w:rsidR="007D1E52" w:rsidRPr="004F6176">
        <w:rPr>
          <w:sz w:val="22"/>
          <w:szCs w:val="22"/>
        </w:rPr>
        <w:t>, který tvoří majoritní sledovanou složku</w:t>
      </w:r>
      <w:r w:rsidR="00D24535" w:rsidRPr="004F6176">
        <w:rPr>
          <w:sz w:val="22"/>
          <w:szCs w:val="22"/>
        </w:rPr>
        <w:t xml:space="preserve"> a současně se jedná o primární kontaminant</w:t>
      </w:r>
      <w:r w:rsidR="00751BAE" w:rsidRPr="004F6176">
        <w:rPr>
          <w:sz w:val="22"/>
          <w:szCs w:val="22"/>
        </w:rPr>
        <w:t xml:space="preserve"> (nejedná se o dceřiný produkt procesu dechlorace)</w:t>
      </w:r>
      <w:r w:rsidR="00631C16" w:rsidRPr="004F6176">
        <w:rPr>
          <w:sz w:val="22"/>
          <w:szCs w:val="22"/>
        </w:rPr>
        <w:t>.</w:t>
      </w:r>
    </w:p>
    <w:p w:rsidR="008051E5" w:rsidRPr="004F6176" w:rsidRDefault="00631C16" w:rsidP="008051E5">
      <w:pPr>
        <w:pStyle w:val="Zkladntextodsazen"/>
        <w:rPr>
          <w:sz w:val="22"/>
          <w:szCs w:val="22"/>
        </w:rPr>
      </w:pPr>
      <w:r w:rsidRPr="004F6176">
        <w:rPr>
          <w:sz w:val="22"/>
          <w:szCs w:val="22"/>
        </w:rPr>
        <w:t xml:space="preserve">Jako podklad pro transportní simulaci </w:t>
      </w:r>
      <w:r w:rsidR="008051E5" w:rsidRPr="004F6176">
        <w:rPr>
          <w:sz w:val="22"/>
          <w:szCs w:val="22"/>
        </w:rPr>
        <w:t>byly zadány následující charakteristiky:</w:t>
      </w:r>
    </w:p>
    <w:p w:rsidR="008051E5" w:rsidRPr="004F6176" w:rsidRDefault="008051E5" w:rsidP="00971C21">
      <w:pPr>
        <w:pStyle w:val="Datum"/>
        <w:numPr>
          <w:ilvl w:val="0"/>
          <w:numId w:val="2"/>
        </w:numPr>
        <w:spacing w:before="120"/>
        <w:jc w:val="both"/>
        <w:rPr>
          <w:sz w:val="22"/>
          <w:szCs w:val="22"/>
        </w:rPr>
      </w:pPr>
      <w:r w:rsidRPr="004F6176">
        <w:rPr>
          <w:sz w:val="22"/>
          <w:szCs w:val="22"/>
        </w:rPr>
        <w:t>objemo</w:t>
      </w:r>
      <w:r w:rsidR="00C15259" w:rsidRPr="004F6176">
        <w:rPr>
          <w:sz w:val="22"/>
          <w:szCs w:val="22"/>
        </w:rPr>
        <w:t>vá hmotnost suché horniny – 2</w:t>
      </w:r>
      <w:r w:rsidR="009E192B" w:rsidRPr="004F6176">
        <w:rPr>
          <w:sz w:val="22"/>
          <w:szCs w:val="22"/>
        </w:rPr>
        <w:t> </w:t>
      </w:r>
      <w:r w:rsidR="00A00E10" w:rsidRPr="004F6176">
        <w:rPr>
          <w:sz w:val="22"/>
          <w:szCs w:val="22"/>
        </w:rPr>
        <w:t>100</w:t>
      </w:r>
      <w:r w:rsidRPr="004F6176">
        <w:rPr>
          <w:sz w:val="22"/>
          <w:szCs w:val="22"/>
        </w:rPr>
        <w:t xml:space="preserve"> kg.m</w:t>
      </w:r>
      <w:r w:rsidR="009E192B" w:rsidRPr="004F6176">
        <w:rPr>
          <w:sz w:val="22"/>
          <w:szCs w:val="22"/>
          <w:vertAlign w:val="superscript"/>
        </w:rPr>
        <w:t>−</w:t>
      </w:r>
      <w:r w:rsidRPr="004F6176">
        <w:rPr>
          <w:sz w:val="22"/>
          <w:szCs w:val="22"/>
          <w:vertAlign w:val="superscript"/>
        </w:rPr>
        <w:t>3</w:t>
      </w:r>
    </w:p>
    <w:p w:rsidR="008051E5" w:rsidRPr="004F6176" w:rsidRDefault="008051E5" w:rsidP="00971C21">
      <w:pPr>
        <w:pStyle w:val="Datum"/>
        <w:numPr>
          <w:ilvl w:val="0"/>
          <w:numId w:val="2"/>
        </w:numPr>
        <w:spacing w:before="120"/>
        <w:jc w:val="both"/>
        <w:rPr>
          <w:sz w:val="22"/>
          <w:szCs w:val="22"/>
        </w:rPr>
      </w:pPr>
      <w:r w:rsidRPr="004F6176">
        <w:rPr>
          <w:sz w:val="22"/>
          <w:szCs w:val="22"/>
        </w:rPr>
        <w:t>disperze byla zadána v hodnotách:</w:t>
      </w:r>
    </w:p>
    <w:p w:rsidR="008051E5" w:rsidRPr="004F6176" w:rsidRDefault="008051E5" w:rsidP="00D60450">
      <w:pPr>
        <w:pStyle w:val="Zkladntext"/>
        <w:numPr>
          <w:ilvl w:val="0"/>
          <w:numId w:val="3"/>
        </w:numPr>
        <w:spacing w:before="60"/>
        <w:ind w:left="908" w:hanging="454"/>
        <w:jc w:val="both"/>
        <w:rPr>
          <w:b w:val="0"/>
          <w:iCs/>
          <w:sz w:val="22"/>
          <w:szCs w:val="22"/>
        </w:rPr>
      </w:pPr>
      <w:r w:rsidRPr="004F6176">
        <w:rPr>
          <w:b w:val="0"/>
          <w:sz w:val="22"/>
          <w:szCs w:val="22"/>
        </w:rPr>
        <w:t>podélná disperzivita</w:t>
      </w:r>
      <w:r w:rsidRPr="004F6176">
        <w:rPr>
          <w:b w:val="0"/>
          <w:i w:val="0"/>
          <w:sz w:val="22"/>
          <w:szCs w:val="22"/>
        </w:rPr>
        <w:t xml:space="preserve"> </w:t>
      </w:r>
      <w:r w:rsidRPr="004F6176">
        <w:rPr>
          <w:b w:val="0"/>
          <w:i w:val="0"/>
          <w:sz w:val="22"/>
          <w:szCs w:val="22"/>
        </w:rPr>
        <w:tab/>
      </w:r>
      <w:r w:rsidRPr="004F6176">
        <w:rPr>
          <w:b w:val="0"/>
          <w:i w:val="0"/>
          <w:sz w:val="22"/>
          <w:szCs w:val="22"/>
        </w:rPr>
        <w:tab/>
      </w:r>
      <w:r w:rsidRPr="004F6176">
        <w:rPr>
          <w:b w:val="0"/>
          <w:iCs/>
          <w:sz w:val="22"/>
          <w:szCs w:val="22"/>
        </w:rPr>
        <w:t>a</w:t>
      </w:r>
      <w:r w:rsidRPr="004F6176">
        <w:rPr>
          <w:b w:val="0"/>
          <w:iCs/>
          <w:sz w:val="22"/>
          <w:szCs w:val="22"/>
          <w:vertAlign w:val="subscript"/>
        </w:rPr>
        <w:t>L</w:t>
      </w:r>
      <w:r w:rsidRPr="004F6176">
        <w:rPr>
          <w:b w:val="0"/>
          <w:iCs/>
          <w:sz w:val="22"/>
          <w:szCs w:val="22"/>
        </w:rPr>
        <w:t xml:space="preserve">   </w:t>
      </w:r>
      <w:r w:rsidR="001615BA" w:rsidRPr="004F6176">
        <w:rPr>
          <w:b w:val="0"/>
          <w:i w:val="0"/>
          <w:sz w:val="22"/>
          <w:szCs w:val="22"/>
        </w:rPr>
        <w:t>10</w:t>
      </w:r>
      <w:r w:rsidRPr="004F6176">
        <w:rPr>
          <w:b w:val="0"/>
          <w:i w:val="0"/>
          <w:sz w:val="22"/>
          <w:szCs w:val="22"/>
        </w:rPr>
        <w:t xml:space="preserve"> m</w:t>
      </w:r>
      <w:r w:rsidRPr="004F6176">
        <w:rPr>
          <w:b w:val="0"/>
          <w:iCs/>
          <w:sz w:val="22"/>
          <w:szCs w:val="22"/>
        </w:rPr>
        <w:t xml:space="preserve"> </w:t>
      </w:r>
    </w:p>
    <w:p w:rsidR="008051E5" w:rsidRPr="004F6176" w:rsidRDefault="008051E5" w:rsidP="008051E5">
      <w:pPr>
        <w:pStyle w:val="Zkladntext"/>
        <w:numPr>
          <w:ilvl w:val="0"/>
          <w:numId w:val="3"/>
        </w:numPr>
        <w:jc w:val="both"/>
        <w:rPr>
          <w:b w:val="0"/>
          <w:iCs/>
          <w:sz w:val="22"/>
          <w:szCs w:val="22"/>
        </w:rPr>
      </w:pPr>
      <w:r w:rsidRPr="004F6176">
        <w:rPr>
          <w:b w:val="0"/>
          <w:sz w:val="22"/>
          <w:szCs w:val="22"/>
        </w:rPr>
        <w:t>příčná disperzivita</w:t>
      </w:r>
      <w:r w:rsidRPr="004F6176">
        <w:rPr>
          <w:b w:val="0"/>
          <w:i w:val="0"/>
          <w:sz w:val="22"/>
          <w:szCs w:val="22"/>
        </w:rPr>
        <w:t xml:space="preserve">   </w:t>
      </w:r>
      <w:r w:rsidRPr="004F6176">
        <w:rPr>
          <w:b w:val="0"/>
          <w:i w:val="0"/>
          <w:sz w:val="22"/>
          <w:szCs w:val="22"/>
        </w:rPr>
        <w:tab/>
      </w:r>
      <w:r w:rsidRPr="004F6176">
        <w:rPr>
          <w:b w:val="0"/>
          <w:i w:val="0"/>
          <w:sz w:val="22"/>
          <w:szCs w:val="22"/>
        </w:rPr>
        <w:tab/>
      </w:r>
      <w:r w:rsidRPr="004F6176">
        <w:rPr>
          <w:b w:val="0"/>
          <w:iCs/>
          <w:sz w:val="22"/>
          <w:szCs w:val="22"/>
        </w:rPr>
        <w:t>a</w:t>
      </w:r>
      <w:r w:rsidRPr="004F6176">
        <w:rPr>
          <w:b w:val="0"/>
          <w:iCs/>
          <w:sz w:val="22"/>
          <w:szCs w:val="22"/>
          <w:vertAlign w:val="subscript"/>
        </w:rPr>
        <w:t>T</w:t>
      </w:r>
      <w:r w:rsidRPr="004F6176">
        <w:rPr>
          <w:b w:val="0"/>
          <w:iCs/>
          <w:sz w:val="22"/>
          <w:szCs w:val="22"/>
        </w:rPr>
        <w:t xml:space="preserve">   </w:t>
      </w:r>
      <w:r w:rsidRPr="004F6176">
        <w:rPr>
          <w:b w:val="0"/>
          <w:i w:val="0"/>
          <w:sz w:val="22"/>
          <w:szCs w:val="22"/>
        </w:rPr>
        <w:t>0,1</w:t>
      </w:r>
      <w:r w:rsidRPr="004F6176">
        <w:rPr>
          <w:b w:val="0"/>
          <w:iCs/>
          <w:sz w:val="22"/>
          <w:szCs w:val="22"/>
        </w:rPr>
        <w:t xml:space="preserve"> a</w:t>
      </w:r>
      <w:r w:rsidRPr="004F6176">
        <w:rPr>
          <w:b w:val="0"/>
          <w:iCs/>
          <w:sz w:val="22"/>
          <w:szCs w:val="22"/>
          <w:vertAlign w:val="subscript"/>
        </w:rPr>
        <w:t>L</w:t>
      </w:r>
    </w:p>
    <w:p w:rsidR="008051E5" w:rsidRPr="004F6176" w:rsidRDefault="008051E5" w:rsidP="008051E5">
      <w:pPr>
        <w:pStyle w:val="Zkladntext"/>
        <w:numPr>
          <w:ilvl w:val="0"/>
          <w:numId w:val="3"/>
        </w:numPr>
        <w:jc w:val="both"/>
        <w:rPr>
          <w:b w:val="0"/>
          <w:i w:val="0"/>
          <w:sz w:val="22"/>
          <w:szCs w:val="22"/>
        </w:rPr>
      </w:pPr>
      <w:r w:rsidRPr="004F6176">
        <w:rPr>
          <w:b w:val="0"/>
          <w:sz w:val="22"/>
          <w:szCs w:val="22"/>
        </w:rPr>
        <w:t>vertikální disperzivita</w:t>
      </w:r>
      <w:r w:rsidRPr="004F6176">
        <w:rPr>
          <w:b w:val="0"/>
          <w:i w:val="0"/>
          <w:sz w:val="22"/>
          <w:szCs w:val="22"/>
        </w:rPr>
        <w:t xml:space="preserve"> </w:t>
      </w:r>
      <w:r w:rsidRPr="004F6176">
        <w:rPr>
          <w:b w:val="0"/>
          <w:i w:val="0"/>
          <w:sz w:val="22"/>
          <w:szCs w:val="22"/>
        </w:rPr>
        <w:tab/>
      </w:r>
      <w:r w:rsidRPr="004F6176">
        <w:rPr>
          <w:b w:val="0"/>
          <w:iCs/>
          <w:sz w:val="22"/>
          <w:szCs w:val="22"/>
        </w:rPr>
        <w:t>a</w:t>
      </w:r>
      <w:r w:rsidRPr="004F6176">
        <w:rPr>
          <w:b w:val="0"/>
          <w:iCs/>
          <w:sz w:val="22"/>
          <w:szCs w:val="22"/>
          <w:vertAlign w:val="subscript"/>
        </w:rPr>
        <w:t>V</w:t>
      </w:r>
      <w:r w:rsidRPr="004F6176">
        <w:rPr>
          <w:b w:val="0"/>
          <w:i w:val="0"/>
          <w:sz w:val="22"/>
          <w:szCs w:val="22"/>
        </w:rPr>
        <w:t xml:space="preserve">   0,01 </w:t>
      </w:r>
      <w:r w:rsidRPr="004F6176">
        <w:rPr>
          <w:b w:val="0"/>
          <w:iCs/>
          <w:sz w:val="22"/>
          <w:szCs w:val="22"/>
        </w:rPr>
        <w:t>a</w:t>
      </w:r>
      <w:r w:rsidRPr="004F6176">
        <w:rPr>
          <w:b w:val="0"/>
          <w:iCs/>
          <w:sz w:val="22"/>
          <w:szCs w:val="22"/>
          <w:vertAlign w:val="subscript"/>
        </w:rPr>
        <w:t>L</w:t>
      </w:r>
    </w:p>
    <w:p w:rsidR="008051E5" w:rsidRPr="004F6176" w:rsidRDefault="008051E5" w:rsidP="00971C21">
      <w:pPr>
        <w:pStyle w:val="Datum"/>
        <w:numPr>
          <w:ilvl w:val="0"/>
          <w:numId w:val="2"/>
        </w:numPr>
        <w:spacing w:before="120"/>
        <w:jc w:val="both"/>
        <w:rPr>
          <w:sz w:val="22"/>
          <w:szCs w:val="22"/>
        </w:rPr>
      </w:pPr>
      <w:r w:rsidRPr="004F6176">
        <w:rPr>
          <w:sz w:val="22"/>
          <w:szCs w:val="22"/>
        </w:rPr>
        <w:t xml:space="preserve">adsorpce - při adsorpci </w:t>
      </w:r>
      <w:r w:rsidR="00C77581" w:rsidRPr="004F6176">
        <w:rPr>
          <w:sz w:val="22"/>
          <w:szCs w:val="22"/>
        </w:rPr>
        <w:t>látek je simulováno</w:t>
      </w:r>
      <w:r w:rsidRPr="004F6176">
        <w:rPr>
          <w:sz w:val="22"/>
          <w:szCs w:val="22"/>
        </w:rPr>
        <w:t> zachycení kontamin</w:t>
      </w:r>
      <w:r w:rsidR="003152CA" w:rsidRPr="004F6176">
        <w:rPr>
          <w:sz w:val="22"/>
          <w:szCs w:val="22"/>
        </w:rPr>
        <w:t>antu na povrchu organické hmoty</w:t>
      </w:r>
      <w:r w:rsidRPr="004F6176">
        <w:rPr>
          <w:sz w:val="22"/>
          <w:szCs w:val="22"/>
        </w:rPr>
        <w:t xml:space="preserve"> v pevní fázi kolektoru, jehož množství </w:t>
      </w:r>
      <w:r w:rsidR="003152CA" w:rsidRPr="004F6176">
        <w:rPr>
          <w:sz w:val="22"/>
          <w:szCs w:val="22"/>
        </w:rPr>
        <w:t>je vyjadřováno</w:t>
      </w:r>
      <w:r w:rsidRPr="004F6176">
        <w:rPr>
          <w:sz w:val="22"/>
          <w:szCs w:val="22"/>
        </w:rPr>
        <w:t xml:space="preserve"> jako váhová frakce organické hmoty</w:t>
      </w:r>
      <w:r w:rsidR="004F4CB4" w:rsidRPr="004F6176">
        <w:rPr>
          <w:b/>
          <w:sz w:val="22"/>
          <w:szCs w:val="22"/>
        </w:rPr>
        <w:t xml:space="preserve"> </w:t>
      </w:r>
      <w:r w:rsidR="004F4CB4" w:rsidRPr="004F6176">
        <w:rPr>
          <w:i/>
          <w:iCs/>
          <w:sz w:val="22"/>
          <w:szCs w:val="22"/>
        </w:rPr>
        <w:t>f</w:t>
      </w:r>
      <w:r w:rsidR="004F4CB4" w:rsidRPr="004F6176">
        <w:rPr>
          <w:i/>
          <w:iCs/>
          <w:sz w:val="22"/>
          <w:szCs w:val="22"/>
          <w:vertAlign w:val="subscript"/>
        </w:rPr>
        <w:t>oc</w:t>
      </w:r>
      <w:r w:rsidR="004F4CB4" w:rsidRPr="004F6176">
        <w:rPr>
          <w:sz w:val="22"/>
          <w:szCs w:val="22"/>
        </w:rPr>
        <w:t xml:space="preserve">. </w:t>
      </w:r>
      <w:r w:rsidR="00AF46F1" w:rsidRPr="004F6176">
        <w:rPr>
          <w:sz w:val="22"/>
          <w:szCs w:val="22"/>
        </w:rPr>
        <w:t>Tato hodnota byla odhadnuta na úrovni 4</w:t>
      </w:r>
      <w:r w:rsidR="009E192B" w:rsidRPr="004F6176">
        <w:rPr>
          <w:sz w:val="22"/>
          <w:szCs w:val="22"/>
        </w:rPr>
        <w:t>,5 </w:t>
      </w:r>
      <w:r w:rsidR="009A420B" w:rsidRPr="004F6176">
        <w:rPr>
          <w:sz w:val="22"/>
          <w:szCs w:val="22"/>
        </w:rPr>
        <w:t>g.kg</w:t>
      </w:r>
      <w:r w:rsidR="009E192B" w:rsidRPr="004F6176">
        <w:rPr>
          <w:sz w:val="22"/>
          <w:szCs w:val="22"/>
          <w:vertAlign w:val="superscript"/>
        </w:rPr>
        <w:t>−</w:t>
      </w:r>
      <w:r w:rsidR="00481955" w:rsidRPr="004F6176">
        <w:rPr>
          <w:sz w:val="22"/>
          <w:szCs w:val="22"/>
          <w:vertAlign w:val="superscript"/>
        </w:rPr>
        <w:t>1</w:t>
      </w:r>
      <w:r w:rsidR="00481955" w:rsidRPr="004F6176">
        <w:rPr>
          <w:sz w:val="22"/>
          <w:szCs w:val="22"/>
        </w:rPr>
        <w:t xml:space="preserve">. </w:t>
      </w:r>
      <w:r w:rsidRPr="004F6176">
        <w:rPr>
          <w:sz w:val="22"/>
          <w:szCs w:val="22"/>
        </w:rPr>
        <w:t xml:space="preserve">Pro potřeby modelování bylo nutné vypočítat adsorpční izotermu </w:t>
      </w:r>
      <w:r w:rsidRPr="004F6176">
        <w:rPr>
          <w:i/>
          <w:iCs/>
          <w:sz w:val="22"/>
          <w:szCs w:val="22"/>
        </w:rPr>
        <w:t>K</w:t>
      </w:r>
      <w:r w:rsidRPr="004F6176">
        <w:rPr>
          <w:i/>
          <w:iCs/>
          <w:sz w:val="22"/>
          <w:szCs w:val="22"/>
          <w:vertAlign w:val="subscript"/>
        </w:rPr>
        <w:t>d</w:t>
      </w:r>
      <w:r w:rsidRPr="004F6176">
        <w:rPr>
          <w:sz w:val="22"/>
          <w:szCs w:val="22"/>
        </w:rPr>
        <w:t xml:space="preserve">  [l.g</w:t>
      </w:r>
      <w:r w:rsidR="009E192B" w:rsidRPr="004F6176">
        <w:rPr>
          <w:sz w:val="22"/>
          <w:szCs w:val="22"/>
          <w:vertAlign w:val="superscript"/>
        </w:rPr>
        <w:t>−</w:t>
      </w:r>
      <w:r w:rsidRPr="004F6176">
        <w:rPr>
          <w:sz w:val="22"/>
          <w:szCs w:val="22"/>
          <w:vertAlign w:val="superscript"/>
        </w:rPr>
        <w:t>1</w:t>
      </w:r>
      <w:r w:rsidRPr="004F6176">
        <w:rPr>
          <w:sz w:val="22"/>
          <w:szCs w:val="22"/>
        </w:rPr>
        <w:t>] dle vztahu:</w:t>
      </w:r>
    </w:p>
    <w:p w:rsidR="001E13F7" w:rsidRPr="004F6176" w:rsidRDefault="001E13F7" w:rsidP="001E13F7">
      <w:pPr>
        <w:rPr>
          <w:sz w:val="22"/>
          <w:szCs w:val="22"/>
        </w:rPr>
      </w:pPr>
    </w:p>
    <w:p w:rsidR="008051E5" w:rsidRPr="004F6176" w:rsidRDefault="008051E5" w:rsidP="001E13F7">
      <w:pPr>
        <w:pStyle w:val="Zkladntextodsazen"/>
        <w:spacing w:before="0"/>
        <w:jc w:val="center"/>
        <w:rPr>
          <w:sz w:val="22"/>
          <w:szCs w:val="22"/>
        </w:rPr>
      </w:pPr>
      <w:r w:rsidRPr="004F6176">
        <w:rPr>
          <w:sz w:val="22"/>
          <w:szCs w:val="22"/>
        </w:rPr>
        <w:object w:dxaOrig="14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18pt" o:ole="">
            <v:imagedata r:id="rId8" o:title=""/>
          </v:shape>
          <o:OLEObject Type="Embed" ProgID="Equation.3" ShapeID="_x0000_i1025" DrawAspect="Content" ObjectID="_1548763042" r:id="rId9"/>
        </w:object>
      </w:r>
      <w:r w:rsidR="004D7819" w:rsidRPr="004F6176">
        <w:rPr>
          <w:sz w:val="22"/>
          <w:szCs w:val="22"/>
        </w:rPr>
        <w:t xml:space="preserve">   </w:t>
      </w:r>
      <w:r w:rsidR="00E30A4E" w:rsidRPr="004F6176">
        <w:rPr>
          <w:sz w:val="22"/>
          <w:szCs w:val="22"/>
        </w:rPr>
        <w:t xml:space="preserve"> </w:t>
      </w:r>
      <w:r w:rsidR="00E30A4E" w:rsidRPr="004F6176">
        <w:rPr>
          <w:sz w:val="22"/>
          <w:szCs w:val="22"/>
        </w:rPr>
        <w:tab/>
      </w:r>
      <w:r w:rsidR="00E30A4E" w:rsidRPr="004F6176">
        <w:rPr>
          <w:sz w:val="22"/>
          <w:szCs w:val="22"/>
        </w:rPr>
        <w:tab/>
      </w:r>
      <w:r w:rsidR="00E30A4E" w:rsidRPr="004F6176">
        <w:rPr>
          <w:sz w:val="22"/>
          <w:szCs w:val="22"/>
        </w:rPr>
        <w:tab/>
      </w:r>
      <w:r w:rsidR="00E30A4E" w:rsidRPr="004F6176">
        <w:rPr>
          <w:sz w:val="22"/>
          <w:szCs w:val="22"/>
        </w:rPr>
        <w:tab/>
      </w:r>
    </w:p>
    <w:p w:rsidR="001E13F7" w:rsidRPr="004F6176" w:rsidRDefault="008051E5" w:rsidP="006323B7">
      <w:pPr>
        <w:pStyle w:val="Zkladntextodsazen"/>
        <w:ind w:firstLine="0"/>
        <w:rPr>
          <w:iCs/>
          <w:sz w:val="22"/>
          <w:szCs w:val="22"/>
        </w:rPr>
      </w:pPr>
      <w:r w:rsidRPr="004F6176">
        <w:rPr>
          <w:sz w:val="22"/>
          <w:szCs w:val="22"/>
        </w:rPr>
        <w:t xml:space="preserve">kde </w:t>
      </w:r>
      <w:r w:rsidRPr="004F6176">
        <w:rPr>
          <w:b/>
          <w:position w:val="-12"/>
          <w:sz w:val="22"/>
          <w:szCs w:val="22"/>
        </w:rPr>
        <w:object w:dxaOrig="400" w:dyaOrig="360">
          <v:shape id="_x0000_i1026" type="#_x0000_t75" style="width:20.25pt;height:18pt" o:ole="">
            <v:imagedata r:id="rId10" o:title=""/>
          </v:shape>
          <o:OLEObject Type="Embed" ProgID="Equation.3" ShapeID="_x0000_i1026" DrawAspect="Content" ObjectID="_1548763043" r:id="rId11"/>
        </w:object>
      </w:r>
      <w:r w:rsidRPr="004F6176">
        <w:rPr>
          <w:b/>
          <w:sz w:val="22"/>
          <w:szCs w:val="22"/>
        </w:rPr>
        <w:t xml:space="preserve"> </w:t>
      </w:r>
      <w:r w:rsidRPr="004F6176">
        <w:rPr>
          <w:sz w:val="22"/>
          <w:szCs w:val="22"/>
        </w:rPr>
        <w:t xml:space="preserve">je distribuční koeficient organický uhlík-voda. </w:t>
      </w:r>
      <w:r w:rsidR="00636641" w:rsidRPr="004F6176">
        <w:rPr>
          <w:sz w:val="22"/>
          <w:szCs w:val="22"/>
        </w:rPr>
        <w:t>Hodnoty</w:t>
      </w:r>
      <w:r w:rsidR="00A0247B" w:rsidRPr="004F6176">
        <w:rPr>
          <w:b/>
          <w:position w:val="-12"/>
          <w:sz w:val="22"/>
          <w:szCs w:val="22"/>
        </w:rPr>
        <w:object w:dxaOrig="400" w:dyaOrig="360">
          <v:shape id="_x0000_i1027" type="#_x0000_t75" style="width:20.25pt;height:18pt" o:ole="">
            <v:imagedata r:id="rId10" o:title=""/>
          </v:shape>
          <o:OLEObject Type="Embed" ProgID="Equation.3" ShapeID="_x0000_i1027" DrawAspect="Content" ObjectID="_1548763044" r:id="rId12"/>
        </w:object>
      </w:r>
      <w:r w:rsidR="00636641" w:rsidRPr="004F6176">
        <w:rPr>
          <w:sz w:val="22"/>
          <w:szCs w:val="22"/>
        </w:rPr>
        <w:t xml:space="preserve">, </w:t>
      </w:r>
      <w:r w:rsidR="00A0247B" w:rsidRPr="004F6176">
        <w:rPr>
          <w:b/>
          <w:position w:val="-12"/>
          <w:sz w:val="22"/>
          <w:szCs w:val="22"/>
        </w:rPr>
        <w:object w:dxaOrig="340" w:dyaOrig="360">
          <v:shape id="_x0000_i1028" type="#_x0000_t75" style="width:9pt;height:18pt" o:ole="">
            <v:imagedata r:id="rId13" o:title=""/>
          </v:shape>
          <o:OLEObject Type="Embed" ProgID="Equation.3" ShapeID="_x0000_i1028" DrawAspect="Content" ObjectID="_1548763045" r:id="rId14"/>
        </w:object>
      </w:r>
      <w:r w:rsidR="00A0247B" w:rsidRPr="004F6176">
        <w:rPr>
          <w:b/>
          <w:sz w:val="22"/>
          <w:szCs w:val="22"/>
        </w:rPr>
        <w:t xml:space="preserve"> </w:t>
      </w:r>
      <w:r w:rsidR="00A0247B" w:rsidRPr="004F6176">
        <w:rPr>
          <w:sz w:val="22"/>
          <w:szCs w:val="22"/>
        </w:rPr>
        <w:t>a</w:t>
      </w:r>
      <w:r w:rsidR="00A0247B" w:rsidRPr="004F6176">
        <w:rPr>
          <w:b/>
          <w:sz w:val="22"/>
          <w:szCs w:val="22"/>
        </w:rPr>
        <w:t xml:space="preserve"> </w:t>
      </w:r>
      <w:r w:rsidR="00A0247B" w:rsidRPr="004F6176">
        <w:rPr>
          <w:i/>
          <w:iCs/>
          <w:sz w:val="22"/>
          <w:szCs w:val="22"/>
        </w:rPr>
        <w:t>K</w:t>
      </w:r>
      <w:r w:rsidR="00A0247B" w:rsidRPr="004F6176">
        <w:rPr>
          <w:i/>
          <w:iCs/>
          <w:sz w:val="22"/>
          <w:szCs w:val="22"/>
          <w:vertAlign w:val="subscript"/>
        </w:rPr>
        <w:t xml:space="preserve">d </w:t>
      </w:r>
      <w:r w:rsidR="00EF3379" w:rsidRPr="004F6176">
        <w:rPr>
          <w:iCs/>
          <w:sz w:val="22"/>
          <w:szCs w:val="22"/>
        </w:rPr>
        <w:t xml:space="preserve"> použité pro</w:t>
      </w:r>
      <w:r w:rsidR="009E192B" w:rsidRPr="004F6176">
        <w:rPr>
          <w:iCs/>
          <w:sz w:val="22"/>
          <w:szCs w:val="22"/>
        </w:rPr>
        <w:t> </w:t>
      </w:r>
      <w:r w:rsidR="00EF3379" w:rsidRPr="004F6176">
        <w:rPr>
          <w:iCs/>
          <w:sz w:val="22"/>
          <w:szCs w:val="22"/>
        </w:rPr>
        <w:t xml:space="preserve">modelové řešení </w:t>
      </w:r>
      <w:r w:rsidR="00A0247B" w:rsidRPr="004F6176">
        <w:rPr>
          <w:iCs/>
          <w:sz w:val="22"/>
          <w:szCs w:val="22"/>
        </w:rPr>
        <w:t xml:space="preserve">jsou uvedeny v tabulce </w:t>
      </w:r>
      <w:r w:rsidR="001E13F7" w:rsidRPr="004F6176">
        <w:rPr>
          <w:iCs/>
          <w:sz w:val="22"/>
          <w:szCs w:val="22"/>
        </w:rPr>
        <w:t xml:space="preserve">č. </w:t>
      </w:r>
      <w:r w:rsidR="00D95D1B" w:rsidRPr="004F6176">
        <w:rPr>
          <w:iCs/>
          <w:sz w:val="22"/>
          <w:szCs w:val="22"/>
        </w:rPr>
        <w:t>2</w:t>
      </w:r>
      <w:r w:rsidR="00A0247B" w:rsidRPr="004F6176">
        <w:rPr>
          <w:iCs/>
          <w:sz w:val="22"/>
          <w:szCs w:val="22"/>
        </w:rPr>
        <w:t>.</w:t>
      </w:r>
    </w:p>
    <w:p w:rsidR="00EF3379" w:rsidRPr="004F6176" w:rsidRDefault="00EF3379" w:rsidP="001E13F7">
      <w:pPr>
        <w:pStyle w:val="Zkladntextodsazen"/>
        <w:spacing w:before="0" w:after="60"/>
        <w:ind w:firstLine="0"/>
        <w:jc w:val="center"/>
        <w:rPr>
          <w:iCs/>
          <w:sz w:val="20"/>
        </w:rPr>
      </w:pPr>
    </w:p>
    <w:p w:rsidR="008051E5" w:rsidRPr="004F6176" w:rsidRDefault="00636641" w:rsidP="00B520AB">
      <w:pPr>
        <w:pStyle w:val="Zkladntextodsazen"/>
        <w:spacing w:after="60"/>
        <w:ind w:firstLine="0"/>
        <w:jc w:val="left"/>
        <w:rPr>
          <w:i/>
          <w:iCs/>
          <w:sz w:val="20"/>
          <w:u w:val="single"/>
        </w:rPr>
      </w:pPr>
      <w:r w:rsidRPr="004F6176">
        <w:rPr>
          <w:i/>
          <w:iCs/>
          <w:sz w:val="20"/>
          <w:u w:val="single"/>
        </w:rPr>
        <w:t xml:space="preserve">Tab. </w:t>
      </w:r>
      <w:r w:rsidR="003A5768" w:rsidRPr="004F6176">
        <w:rPr>
          <w:i/>
          <w:iCs/>
          <w:sz w:val="20"/>
          <w:u w:val="single"/>
        </w:rPr>
        <w:t xml:space="preserve">č. </w:t>
      </w:r>
      <w:r w:rsidR="00D95D1B" w:rsidRPr="004F6176">
        <w:rPr>
          <w:i/>
          <w:iCs/>
          <w:sz w:val="20"/>
          <w:u w:val="single"/>
        </w:rPr>
        <w:t>2</w:t>
      </w:r>
      <w:r w:rsidR="003A5768" w:rsidRPr="004F6176">
        <w:rPr>
          <w:i/>
          <w:iCs/>
          <w:sz w:val="20"/>
          <w:u w:val="single"/>
        </w:rPr>
        <w:t xml:space="preserve">:     </w:t>
      </w:r>
      <w:r w:rsidR="008051E5" w:rsidRPr="004F6176">
        <w:rPr>
          <w:i/>
          <w:iCs/>
          <w:sz w:val="20"/>
          <w:u w:val="single"/>
        </w:rPr>
        <w:t>Hodnoty K</w:t>
      </w:r>
      <w:r w:rsidR="008051E5" w:rsidRPr="004F6176">
        <w:rPr>
          <w:i/>
          <w:iCs/>
          <w:sz w:val="20"/>
          <w:u w:val="single"/>
          <w:vertAlign w:val="subscript"/>
        </w:rPr>
        <w:t>oc</w:t>
      </w:r>
      <w:r w:rsidR="008051E5" w:rsidRPr="004F6176">
        <w:rPr>
          <w:i/>
          <w:iCs/>
          <w:sz w:val="20"/>
          <w:u w:val="single"/>
        </w:rPr>
        <w:t>, f</w:t>
      </w:r>
      <w:r w:rsidR="008051E5" w:rsidRPr="004F6176">
        <w:rPr>
          <w:i/>
          <w:iCs/>
          <w:sz w:val="20"/>
          <w:u w:val="single"/>
          <w:vertAlign w:val="subscript"/>
        </w:rPr>
        <w:t>oc</w:t>
      </w:r>
      <w:r w:rsidR="008051E5" w:rsidRPr="004F6176">
        <w:rPr>
          <w:i/>
          <w:iCs/>
          <w:sz w:val="20"/>
          <w:u w:val="single"/>
        </w:rPr>
        <w:t xml:space="preserve"> a K</w:t>
      </w:r>
      <w:r w:rsidR="008051E5" w:rsidRPr="004F6176">
        <w:rPr>
          <w:i/>
          <w:iCs/>
          <w:sz w:val="20"/>
          <w:u w:val="single"/>
          <w:vertAlign w:val="subscript"/>
        </w:rPr>
        <w:t>d</w:t>
      </w:r>
      <w:r w:rsidR="008051E5" w:rsidRPr="004F6176">
        <w:rPr>
          <w:i/>
          <w:iCs/>
          <w:sz w:val="20"/>
          <w:u w:val="single"/>
        </w:rPr>
        <w:t xml:space="preserve">  pro </w:t>
      </w:r>
      <w:r w:rsidR="00B520AB" w:rsidRPr="004F6176">
        <w:rPr>
          <w:i/>
          <w:iCs/>
          <w:sz w:val="20"/>
          <w:u w:val="single"/>
        </w:rPr>
        <w:t>PCE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6"/>
        <w:gridCol w:w="1586"/>
        <w:gridCol w:w="3175"/>
        <w:gridCol w:w="3175"/>
      </w:tblGrid>
      <w:tr w:rsidR="00F24425" w:rsidRPr="004F6176">
        <w:trPr>
          <w:cantSplit/>
          <w:trHeight w:val="445"/>
          <w:jc w:val="center"/>
        </w:trPr>
        <w:tc>
          <w:tcPr>
            <w:tcW w:w="833" w:type="pct"/>
            <w:shd w:val="pct15" w:color="auto" w:fill="auto"/>
            <w:vAlign w:val="center"/>
          </w:tcPr>
          <w:p w:rsidR="00F24425" w:rsidRPr="004F6176" w:rsidRDefault="0037611D" w:rsidP="008051E5">
            <w:pPr>
              <w:jc w:val="center"/>
              <w:rPr>
                <w:sz w:val="20"/>
                <w:szCs w:val="20"/>
              </w:rPr>
            </w:pPr>
            <w:r w:rsidRPr="004F6176">
              <w:rPr>
                <w:sz w:val="20"/>
                <w:szCs w:val="20"/>
              </w:rPr>
              <w:t>K</w:t>
            </w:r>
            <w:r w:rsidR="00F24425" w:rsidRPr="004F6176">
              <w:rPr>
                <w:sz w:val="20"/>
                <w:szCs w:val="20"/>
              </w:rPr>
              <w:t>ontaminant</w:t>
            </w:r>
          </w:p>
        </w:tc>
        <w:tc>
          <w:tcPr>
            <w:tcW w:w="833" w:type="pct"/>
            <w:shd w:val="pct15" w:color="auto" w:fill="auto"/>
            <w:vAlign w:val="center"/>
          </w:tcPr>
          <w:p w:rsidR="00F24425" w:rsidRPr="004F6176" w:rsidRDefault="00F24425" w:rsidP="009E192B">
            <w:pPr>
              <w:jc w:val="center"/>
              <w:rPr>
                <w:sz w:val="20"/>
                <w:szCs w:val="20"/>
              </w:rPr>
            </w:pPr>
            <w:r w:rsidRPr="004F6176">
              <w:rPr>
                <w:i/>
                <w:iCs/>
                <w:sz w:val="20"/>
                <w:szCs w:val="20"/>
              </w:rPr>
              <w:t>K</w:t>
            </w:r>
            <w:r w:rsidRPr="004F6176">
              <w:rPr>
                <w:i/>
                <w:iCs/>
                <w:sz w:val="20"/>
                <w:szCs w:val="20"/>
                <w:vertAlign w:val="subscript"/>
              </w:rPr>
              <w:t>oc</w:t>
            </w:r>
            <w:r w:rsidRPr="004F6176">
              <w:rPr>
                <w:sz w:val="20"/>
                <w:szCs w:val="20"/>
              </w:rPr>
              <w:t xml:space="preserve"> [l.kg</w:t>
            </w:r>
            <w:r w:rsidR="009E192B" w:rsidRPr="004F6176">
              <w:rPr>
                <w:sz w:val="20"/>
                <w:szCs w:val="20"/>
                <w:vertAlign w:val="superscript"/>
              </w:rPr>
              <w:t>−</w:t>
            </w:r>
            <w:r w:rsidRPr="004F6176">
              <w:rPr>
                <w:sz w:val="20"/>
                <w:szCs w:val="20"/>
                <w:vertAlign w:val="superscript"/>
              </w:rPr>
              <w:t>1</w:t>
            </w:r>
            <w:r w:rsidRPr="004F6176">
              <w:rPr>
                <w:sz w:val="20"/>
                <w:szCs w:val="20"/>
              </w:rPr>
              <w:t>]</w:t>
            </w:r>
            <w:r w:rsidR="00384CE2" w:rsidRPr="004F6176">
              <w:rPr>
                <w:sz w:val="20"/>
                <w:szCs w:val="20"/>
              </w:rPr>
              <w:t>*</w:t>
            </w:r>
          </w:p>
        </w:tc>
        <w:tc>
          <w:tcPr>
            <w:tcW w:w="1667" w:type="pct"/>
            <w:shd w:val="pct15" w:color="auto" w:fill="auto"/>
            <w:vAlign w:val="center"/>
          </w:tcPr>
          <w:p w:rsidR="00F24425" w:rsidRPr="004F6176" w:rsidRDefault="00F24425" w:rsidP="008051E5">
            <w:pPr>
              <w:jc w:val="center"/>
              <w:rPr>
                <w:sz w:val="20"/>
                <w:szCs w:val="20"/>
              </w:rPr>
            </w:pPr>
            <w:r w:rsidRPr="004F6176">
              <w:rPr>
                <w:i/>
                <w:iCs/>
                <w:sz w:val="20"/>
                <w:szCs w:val="20"/>
              </w:rPr>
              <w:t>f</w:t>
            </w:r>
            <w:r w:rsidRPr="004F6176">
              <w:rPr>
                <w:i/>
                <w:iCs/>
                <w:sz w:val="20"/>
                <w:szCs w:val="20"/>
                <w:vertAlign w:val="subscript"/>
              </w:rPr>
              <w:t>oc</w:t>
            </w:r>
            <w:r w:rsidRPr="004F6176">
              <w:rPr>
                <w:sz w:val="20"/>
                <w:szCs w:val="20"/>
              </w:rPr>
              <w:t xml:space="preserve">  [%]</w:t>
            </w:r>
          </w:p>
        </w:tc>
        <w:tc>
          <w:tcPr>
            <w:tcW w:w="1667" w:type="pct"/>
            <w:shd w:val="pct15" w:color="auto" w:fill="auto"/>
            <w:vAlign w:val="center"/>
          </w:tcPr>
          <w:p w:rsidR="00F24425" w:rsidRPr="004F6176" w:rsidRDefault="00F24425" w:rsidP="008051E5">
            <w:pPr>
              <w:jc w:val="center"/>
              <w:rPr>
                <w:sz w:val="20"/>
                <w:szCs w:val="20"/>
              </w:rPr>
            </w:pPr>
            <w:r w:rsidRPr="004F6176">
              <w:rPr>
                <w:i/>
                <w:iCs/>
                <w:sz w:val="20"/>
                <w:szCs w:val="20"/>
              </w:rPr>
              <w:t>K</w:t>
            </w:r>
            <w:r w:rsidRPr="004F6176">
              <w:rPr>
                <w:i/>
                <w:iCs/>
                <w:sz w:val="20"/>
                <w:szCs w:val="20"/>
                <w:vertAlign w:val="subscript"/>
              </w:rPr>
              <w:t>d</w:t>
            </w:r>
            <w:r w:rsidRPr="004F6176">
              <w:rPr>
                <w:sz w:val="20"/>
                <w:szCs w:val="20"/>
              </w:rPr>
              <w:t xml:space="preserve">  [l.kg</w:t>
            </w:r>
            <w:r w:rsidR="009E192B" w:rsidRPr="004F6176">
              <w:rPr>
                <w:sz w:val="20"/>
                <w:szCs w:val="20"/>
                <w:vertAlign w:val="superscript"/>
              </w:rPr>
              <w:t>−</w:t>
            </w:r>
            <w:r w:rsidRPr="004F6176">
              <w:rPr>
                <w:sz w:val="20"/>
                <w:szCs w:val="20"/>
                <w:vertAlign w:val="superscript"/>
              </w:rPr>
              <w:t>1</w:t>
            </w:r>
            <w:r w:rsidRPr="004F6176">
              <w:rPr>
                <w:sz w:val="20"/>
                <w:szCs w:val="20"/>
              </w:rPr>
              <w:t>]</w:t>
            </w:r>
          </w:p>
        </w:tc>
      </w:tr>
      <w:tr w:rsidR="00EC74BA" w:rsidRPr="004F6176">
        <w:trPr>
          <w:trHeight w:val="170"/>
          <w:jc w:val="center"/>
        </w:trPr>
        <w:tc>
          <w:tcPr>
            <w:tcW w:w="833" w:type="pct"/>
            <w:vAlign w:val="center"/>
          </w:tcPr>
          <w:p w:rsidR="00EC74BA" w:rsidRPr="004F6176" w:rsidRDefault="00EC74BA" w:rsidP="008051E5">
            <w:pPr>
              <w:jc w:val="center"/>
              <w:rPr>
                <w:sz w:val="20"/>
                <w:szCs w:val="20"/>
              </w:rPr>
            </w:pPr>
            <w:r w:rsidRPr="004F6176">
              <w:rPr>
                <w:sz w:val="20"/>
                <w:szCs w:val="20"/>
              </w:rPr>
              <w:t>PCE</w:t>
            </w:r>
          </w:p>
        </w:tc>
        <w:tc>
          <w:tcPr>
            <w:tcW w:w="833" w:type="pct"/>
            <w:vAlign w:val="bottom"/>
          </w:tcPr>
          <w:p w:rsidR="00EC74BA" w:rsidRPr="004F6176" w:rsidRDefault="000234C3">
            <w:pPr>
              <w:jc w:val="center"/>
              <w:rPr>
                <w:sz w:val="18"/>
                <w:szCs w:val="18"/>
              </w:rPr>
            </w:pPr>
            <w:r w:rsidRPr="004F6176">
              <w:rPr>
                <w:sz w:val="18"/>
                <w:szCs w:val="18"/>
              </w:rPr>
              <w:t>94,</w:t>
            </w:r>
            <w:r w:rsidR="00EC74BA" w:rsidRPr="004F6176">
              <w:rPr>
                <w:sz w:val="18"/>
                <w:szCs w:val="18"/>
              </w:rPr>
              <w:t>9</w:t>
            </w:r>
          </w:p>
        </w:tc>
        <w:tc>
          <w:tcPr>
            <w:tcW w:w="1667" w:type="pct"/>
            <w:vAlign w:val="bottom"/>
          </w:tcPr>
          <w:p w:rsidR="00EC74BA" w:rsidRPr="004F6176" w:rsidRDefault="000234C3">
            <w:pPr>
              <w:jc w:val="center"/>
              <w:rPr>
                <w:sz w:val="18"/>
                <w:szCs w:val="18"/>
                <w:lang w:val="en-US"/>
              </w:rPr>
            </w:pPr>
            <w:r w:rsidRPr="004F6176">
              <w:rPr>
                <w:sz w:val="18"/>
                <w:szCs w:val="18"/>
              </w:rPr>
              <w:t>0,</w:t>
            </w:r>
            <w:r w:rsidR="009E192B" w:rsidRPr="004F6176">
              <w:rPr>
                <w:sz w:val="18"/>
                <w:szCs w:val="18"/>
              </w:rPr>
              <w:t>00</w:t>
            </w:r>
            <w:r w:rsidR="009E192B" w:rsidRPr="004F6176"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1667" w:type="pct"/>
            <w:vAlign w:val="bottom"/>
          </w:tcPr>
          <w:p w:rsidR="00EC74BA" w:rsidRPr="004F6176" w:rsidRDefault="000234C3">
            <w:pPr>
              <w:jc w:val="center"/>
              <w:rPr>
                <w:sz w:val="18"/>
                <w:szCs w:val="18"/>
              </w:rPr>
            </w:pPr>
            <w:r w:rsidRPr="004F6176">
              <w:rPr>
                <w:sz w:val="18"/>
                <w:szCs w:val="18"/>
              </w:rPr>
              <w:t>0,</w:t>
            </w:r>
            <w:r w:rsidR="00FB6DF9" w:rsidRPr="004F6176">
              <w:rPr>
                <w:sz w:val="18"/>
                <w:szCs w:val="18"/>
              </w:rPr>
              <w:t>47</w:t>
            </w:r>
          </w:p>
        </w:tc>
      </w:tr>
    </w:tbl>
    <w:p w:rsidR="004C3020" w:rsidRPr="004F6176" w:rsidRDefault="00384CE2" w:rsidP="004C3020">
      <w:pPr>
        <w:pStyle w:val="Zkladntextodsazen"/>
        <w:spacing w:before="60"/>
        <w:ind w:left="96" w:firstLine="0"/>
        <w:rPr>
          <w:smallCaps/>
          <w:sz w:val="20"/>
        </w:rPr>
      </w:pPr>
      <w:r w:rsidRPr="004F6176">
        <w:rPr>
          <w:smallCaps/>
          <w:sz w:val="20"/>
        </w:rPr>
        <w:t xml:space="preserve">*  </w:t>
      </w:r>
      <w:r w:rsidR="00C148A6" w:rsidRPr="004F6176">
        <w:rPr>
          <w:sz w:val="20"/>
        </w:rPr>
        <w:t xml:space="preserve">© </w:t>
      </w:r>
      <w:r w:rsidRPr="004F6176">
        <w:rPr>
          <w:sz w:val="20"/>
        </w:rPr>
        <w:t>Data</w:t>
      </w:r>
      <w:r w:rsidRPr="004F6176">
        <w:rPr>
          <w:smallCaps/>
          <w:sz w:val="20"/>
        </w:rPr>
        <w:t xml:space="preserve"> </w:t>
      </w:r>
      <w:r w:rsidR="000719D1" w:rsidRPr="004F6176">
        <w:rPr>
          <w:smallCaps/>
          <w:sz w:val="20"/>
        </w:rPr>
        <w:t>The Risk Assessment Information System</w:t>
      </w:r>
    </w:p>
    <w:p w:rsidR="00C148A6" w:rsidRPr="004F6176" w:rsidRDefault="00C148A6" w:rsidP="00C148A6"/>
    <w:p w:rsidR="005A56F2" w:rsidRPr="004F6176" w:rsidRDefault="00C03E78" w:rsidP="005A56F2">
      <w:pPr>
        <w:pStyle w:val="Zkladntextodsazen"/>
        <w:numPr>
          <w:ilvl w:val="0"/>
          <w:numId w:val="18"/>
        </w:numPr>
        <w:spacing w:before="60"/>
        <w:ind w:left="453" w:hanging="357"/>
        <w:rPr>
          <w:sz w:val="22"/>
          <w:szCs w:val="22"/>
        </w:rPr>
      </w:pPr>
      <w:r w:rsidRPr="004F6176">
        <w:rPr>
          <w:sz w:val="22"/>
          <w:szCs w:val="22"/>
        </w:rPr>
        <w:t xml:space="preserve">ireversibilní </w:t>
      </w:r>
      <w:r w:rsidR="005A56F2" w:rsidRPr="004F6176">
        <w:rPr>
          <w:sz w:val="22"/>
          <w:szCs w:val="22"/>
        </w:rPr>
        <w:t>rozpad 1. řádu (biodegradace) – v rámci simul</w:t>
      </w:r>
      <w:r w:rsidR="003F4485" w:rsidRPr="004F6176">
        <w:rPr>
          <w:sz w:val="22"/>
          <w:szCs w:val="22"/>
        </w:rPr>
        <w:t>ovaných rozkladných procesů byly</w:t>
      </w:r>
      <w:r w:rsidR="005A56F2" w:rsidRPr="004F6176">
        <w:rPr>
          <w:sz w:val="22"/>
          <w:szCs w:val="22"/>
        </w:rPr>
        <w:t xml:space="preserve"> použity hodnoty rozpadových konstant uvedené v následující tabulce č. </w:t>
      </w:r>
      <w:r w:rsidR="00D95D1B" w:rsidRPr="004F6176">
        <w:rPr>
          <w:sz w:val="22"/>
          <w:szCs w:val="22"/>
        </w:rPr>
        <w:t>3</w:t>
      </w:r>
      <w:r w:rsidR="005A56F2" w:rsidRPr="004F6176">
        <w:rPr>
          <w:sz w:val="22"/>
          <w:szCs w:val="22"/>
        </w:rPr>
        <w:t>.</w:t>
      </w:r>
    </w:p>
    <w:p w:rsidR="00D95D1B" w:rsidRPr="004F6176" w:rsidRDefault="00D95D1B" w:rsidP="00D95D1B">
      <w:pPr>
        <w:pStyle w:val="Zkladntextodsazen"/>
        <w:spacing w:before="60"/>
        <w:rPr>
          <w:sz w:val="22"/>
          <w:szCs w:val="22"/>
        </w:rPr>
      </w:pPr>
    </w:p>
    <w:p w:rsidR="00D95D1B" w:rsidRPr="004F6176" w:rsidRDefault="00D95D1B" w:rsidP="00D95D1B">
      <w:pPr>
        <w:pStyle w:val="Zkladntextodsazen"/>
        <w:spacing w:before="60"/>
        <w:rPr>
          <w:sz w:val="22"/>
          <w:szCs w:val="22"/>
        </w:rPr>
      </w:pPr>
    </w:p>
    <w:p w:rsidR="005A56F2" w:rsidRPr="004F6176" w:rsidRDefault="005A56F2" w:rsidP="00B520AB">
      <w:pPr>
        <w:pStyle w:val="Zkladntextodsazen"/>
        <w:spacing w:after="60"/>
        <w:ind w:firstLine="0"/>
        <w:jc w:val="left"/>
        <w:rPr>
          <w:i/>
          <w:iCs/>
          <w:sz w:val="20"/>
          <w:u w:val="single"/>
        </w:rPr>
      </w:pPr>
      <w:r w:rsidRPr="004F6176">
        <w:rPr>
          <w:i/>
          <w:iCs/>
          <w:sz w:val="20"/>
          <w:u w:val="single"/>
        </w:rPr>
        <w:t xml:space="preserve">Tab. č. </w:t>
      </w:r>
      <w:r w:rsidR="00D95D1B" w:rsidRPr="004F6176">
        <w:rPr>
          <w:i/>
          <w:iCs/>
          <w:sz w:val="20"/>
          <w:u w:val="single"/>
        </w:rPr>
        <w:t>3</w:t>
      </w:r>
      <w:r w:rsidRPr="004F6176">
        <w:rPr>
          <w:i/>
          <w:iCs/>
          <w:sz w:val="20"/>
          <w:u w:val="single"/>
        </w:rPr>
        <w:t xml:space="preserve">:     Hodnoty rozpadových konstant pro </w:t>
      </w:r>
      <w:r w:rsidR="00B520AB" w:rsidRPr="004F6176">
        <w:rPr>
          <w:i/>
          <w:iCs/>
          <w:sz w:val="20"/>
          <w:u w:val="single"/>
        </w:rPr>
        <w:t>PCE</w:t>
      </w:r>
      <w:r w:rsidRPr="004F6176">
        <w:rPr>
          <w:i/>
          <w:iCs/>
          <w:sz w:val="20"/>
          <w:u w:val="single"/>
        </w:rPr>
        <w:t xml:space="preserve"> (rozpad 1. řádu)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9"/>
        <w:gridCol w:w="4763"/>
      </w:tblGrid>
      <w:tr w:rsidR="005A56F2" w:rsidRPr="004F6176" w:rsidTr="007945F1">
        <w:trPr>
          <w:trHeight w:val="445"/>
          <w:jc w:val="center"/>
        </w:trPr>
        <w:tc>
          <w:tcPr>
            <w:tcW w:w="2499" w:type="pct"/>
            <w:shd w:val="pct15" w:color="auto" w:fill="auto"/>
            <w:vAlign w:val="center"/>
          </w:tcPr>
          <w:p w:rsidR="005A56F2" w:rsidRPr="004F6176" w:rsidRDefault="005A56F2" w:rsidP="007945F1">
            <w:pPr>
              <w:jc w:val="center"/>
              <w:rPr>
                <w:rFonts w:cs="Arial"/>
                <w:sz w:val="20"/>
                <w:szCs w:val="20"/>
              </w:rPr>
            </w:pPr>
            <w:r w:rsidRPr="004F6176">
              <w:rPr>
                <w:rFonts w:cs="Arial"/>
                <w:sz w:val="20"/>
                <w:szCs w:val="20"/>
              </w:rPr>
              <w:t>Kontaminant</w:t>
            </w:r>
          </w:p>
        </w:tc>
        <w:tc>
          <w:tcPr>
            <w:tcW w:w="2501" w:type="pct"/>
            <w:shd w:val="pct15" w:color="auto" w:fill="auto"/>
            <w:vAlign w:val="center"/>
          </w:tcPr>
          <w:p w:rsidR="005A56F2" w:rsidRPr="004F6176" w:rsidRDefault="005A56F2" w:rsidP="001F281A">
            <w:pPr>
              <w:jc w:val="center"/>
              <w:rPr>
                <w:rFonts w:cs="Arial"/>
                <w:sz w:val="20"/>
                <w:szCs w:val="20"/>
              </w:rPr>
            </w:pPr>
            <w:r w:rsidRPr="004F6176">
              <w:rPr>
                <w:rFonts w:cs="Arial"/>
                <w:iCs/>
                <w:sz w:val="20"/>
                <w:szCs w:val="20"/>
              </w:rPr>
              <w:t>rozpadová konstanta (den</w:t>
            </w:r>
            <w:r w:rsidR="001F281A" w:rsidRPr="004F6176">
              <w:rPr>
                <w:iCs/>
                <w:sz w:val="20"/>
                <w:szCs w:val="20"/>
                <w:vertAlign w:val="superscript"/>
              </w:rPr>
              <w:t>−</w:t>
            </w:r>
            <w:r w:rsidRPr="004F6176">
              <w:rPr>
                <w:rFonts w:cs="Arial"/>
                <w:iCs/>
                <w:sz w:val="20"/>
                <w:szCs w:val="20"/>
                <w:vertAlign w:val="superscript"/>
              </w:rPr>
              <w:t>1</w:t>
            </w:r>
            <w:r w:rsidRPr="004F6176">
              <w:rPr>
                <w:rFonts w:cs="Arial"/>
                <w:iCs/>
                <w:sz w:val="20"/>
                <w:szCs w:val="20"/>
              </w:rPr>
              <w:t>)*</w:t>
            </w:r>
          </w:p>
        </w:tc>
      </w:tr>
      <w:tr w:rsidR="005A56F2" w:rsidRPr="004F6176" w:rsidTr="007945F1">
        <w:trPr>
          <w:trHeight w:val="170"/>
          <w:jc w:val="center"/>
        </w:trPr>
        <w:tc>
          <w:tcPr>
            <w:tcW w:w="2499" w:type="pct"/>
            <w:vAlign w:val="center"/>
          </w:tcPr>
          <w:p w:rsidR="005A56F2" w:rsidRPr="004F6176" w:rsidRDefault="005A56F2" w:rsidP="007945F1">
            <w:pPr>
              <w:jc w:val="center"/>
              <w:rPr>
                <w:rFonts w:cs="Arial"/>
                <w:sz w:val="20"/>
                <w:szCs w:val="20"/>
              </w:rPr>
            </w:pPr>
            <w:r w:rsidRPr="004F6176">
              <w:rPr>
                <w:rFonts w:cs="Arial"/>
                <w:sz w:val="20"/>
                <w:szCs w:val="20"/>
              </w:rPr>
              <w:t>PCE</w:t>
            </w:r>
          </w:p>
        </w:tc>
        <w:tc>
          <w:tcPr>
            <w:tcW w:w="2501" w:type="pct"/>
            <w:vAlign w:val="center"/>
          </w:tcPr>
          <w:p w:rsidR="005A56F2" w:rsidRPr="004F6176" w:rsidRDefault="005A56F2" w:rsidP="00B539B0">
            <w:pPr>
              <w:jc w:val="center"/>
              <w:rPr>
                <w:rFonts w:cs="Arial"/>
                <w:sz w:val="20"/>
                <w:szCs w:val="20"/>
              </w:rPr>
            </w:pPr>
            <w:r w:rsidRPr="004F6176">
              <w:rPr>
                <w:rFonts w:cs="Arial"/>
                <w:sz w:val="20"/>
                <w:szCs w:val="20"/>
              </w:rPr>
              <w:t>1</w:t>
            </w:r>
            <w:r w:rsidR="00B539B0" w:rsidRPr="004F6176">
              <w:rPr>
                <w:rFonts w:cs="Arial"/>
                <w:sz w:val="20"/>
                <w:szCs w:val="20"/>
              </w:rPr>
              <w:t>,</w:t>
            </w:r>
            <w:r w:rsidRPr="004F6176">
              <w:rPr>
                <w:rFonts w:cs="Arial"/>
                <w:sz w:val="20"/>
                <w:szCs w:val="20"/>
              </w:rPr>
              <w:t>28.10</w:t>
            </w:r>
            <w:r w:rsidR="001F281A" w:rsidRPr="004F6176">
              <w:rPr>
                <w:iCs/>
                <w:sz w:val="20"/>
                <w:szCs w:val="20"/>
                <w:vertAlign w:val="superscript"/>
              </w:rPr>
              <w:t>−</w:t>
            </w:r>
            <w:r w:rsidRPr="004F6176">
              <w:rPr>
                <w:rFonts w:cs="Arial"/>
                <w:sz w:val="20"/>
                <w:szCs w:val="20"/>
                <w:vertAlign w:val="superscript"/>
              </w:rPr>
              <w:t>4</w:t>
            </w:r>
          </w:p>
        </w:tc>
      </w:tr>
    </w:tbl>
    <w:p w:rsidR="005A56F2" w:rsidRPr="004F6176" w:rsidRDefault="005A56F2" w:rsidP="005A56F2">
      <w:pPr>
        <w:rPr>
          <w:sz w:val="20"/>
          <w:szCs w:val="20"/>
        </w:rPr>
      </w:pPr>
      <w:r w:rsidRPr="004F6176">
        <w:rPr>
          <w:sz w:val="20"/>
          <w:szCs w:val="20"/>
        </w:rPr>
        <w:t xml:space="preserve">* Data </w:t>
      </w:r>
      <w:r w:rsidRPr="004F6176">
        <w:rPr>
          <w:smallCaps/>
          <w:sz w:val="20"/>
          <w:szCs w:val="20"/>
        </w:rPr>
        <w:t>The Risk Assessment Information System</w:t>
      </w:r>
      <w:r w:rsidRPr="004F6176">
        <w:rPr>
          <w:sz w:val="20"/>
          <w:szCs w:val="20"/>
        </w:rPr>
        <w:tab/>
      </w:r>
    </w:p>
    <w:p w:rsidR="00EE7608" w:rsidRPr="004F6176" w:rsidRDefault="00EE7608" w:rsidP="005A56F2">
      <w:pPr>
        <w:rPr>
          <w:sz w:val="22"/>
          <w:szCs w:val="22"/>
        </w:rPr>
      </w:pPr>
    </w:p>
    <w:p w:rsidR="00B3274D" w:rsidRPr="004F6176" w:rsidRDefault="002C3232" w:rsidP="002C3232">
      <w:pPr>
        <w:ind w:firstLine="426"/>
        <w:rPr>
          <w:sz w:val="22"/>
          <w:szCs w:val="22"/>
        </w:rPr>
      </w:pPr>
      <w:r w:rsidRPr="004F6176">
        <w:rPr>
          <w:sz w:val="22"/>
          <w:szCs w:val="22"/>
        </w:rPr>
        <w:t xml:space="preserve">Simulace je laděna na období </w:t>
      </w:r>
      <w:r w:rsidR="007A346D" w:rsidRPr="004F6176">
        <w:rPr>
          <w:sz w:val="22"/>
          <w:szCs w:val="22"/>
        </w:rPr>
        <w:t>1</w:t>
      </w:r>
      <w:r w:rsidRPr="004F6176">
        <w:rPr>
          <w:sz w:val="22"/>
          <w:szCs w:val="22"/>
        </w:rPr>
        <w:t xml:space="preserve">0 let, s výstupy po </w:t>
      </w:r>
      <w:r w:rsidR="007A346D" w:rsidRPr="004F6176">
        <w:rPr>
          <w:sz w:val="22"/>
          <w:szCs w:val="22"/>
        </w:rPr>
        <w:t>1</w:t>
      </w:r>
      <w:r w:rsidRPr="004F6176">
        <w:rPr>
          <w:sz w:val="22"/>
          <w:szCs w:val="22"/>
        </w:rPr>
        <w:t xml:space="preserve">, </w:t>
      </w:r>
      <w:r w:rsidR="007A346D" w:rsidRPr="004F6176">
        <w:rPr>
          <w:sz w:val="22"/>
          <w:szCs w:val="22"/>
        </w:rPr>
        <w:t>5</w:t>
      </w:r>
      <w:r w:rsidRPr="004F6176">
        <w:rPr>
          <w:sz w:val="22"/>
          <w:szCs w:val="22"/>
        </w:rPr>
        <w:t xml:space="preserve"> a</w:t>
      </w:r>
      <w:r w:rsidR="007A346D" w:rsidRPr="004F6176">
        <w:rPr>
          <w:sz w:val="22"/>
          <w:szCs w:val="22"/>
        </w:rPr>
        <w:t xml:space="preserve"> 1</w:t>
      </w:r>
      <w:r w:rsidRPr="004F6176">
        <w:rPr>
          <w:sz w:val="22"/>
          <w:szCs w:val="22"/>
        </w:rPr>
        <w:t>0 letech.</w:t>
      </w:r>
    </w:p>
    <w:p w:rsidR="008051E5" w:rsidRPr="004F6176" w:rsidRDefault="00723502" w:rsidP="005A1133">
      <w:pPr>
        <w:pStyle w:val="Nadpis1"/>
      </w:pPr>
      <w:bookmarkStart w:id="33" w:name="_Toc176000230"/>
      <w:bookmarkStart w:id="34" w:name="_Toc187653499"/>
      <w:bookmarkStart w:id="35" w:name="_Toc405386074"/>
      <w:bookmarkStart w:id="36" w:name="_Toc405386153"/>
      <w:r w:rsidRPr="004F6176">
        <w:t>4</w:t>
      </w:r>
      <w:r w:rsidR="001E3E21" w:rsidRPr="004F6176">
        <w:t>.</w:t>
      </w:r>
      <w:r w:rsidR="00DB2439" w:rsidRPr="004F6176">
        <w:tab/>
      </w:r>
      <w:r w:rsidR="008051E5" w:rsidRPr="004F6176">
        <w:t>Kalibrace modelu</w:t>
      </w:r>
      <w:bookmarkEnd w:id="33"/>
      <w:bookmarkEnd w:id="34"/>
      <w:bookmarkEnd w:id="35"/>
      <w:bookmarkEnd w:id="36"/>
    </w:p>
    <w:p w:rsidR="005C494F" w:rsidRPr="004F6176" w:rsidRDefault="008051E5" w:rsidP="008051E5">
      <w:pPr>
        <w:pStyle w:val="Zkladntextodsazen"/>
        <w:rPr>
          <w:sz w:val="22"/>
          <w:szCs w:val="22"/>
        </w:rPr>
      </w:pPr>
      <w:r w:rsidRPr="004F6176">
        <w:rPr>
          <w:sz w:val="22"/>
          <w:szCs w:val="22"/>
        </w:rPr>
        <w:t>Při kalibraci modelu dochází k úpravě vstupních dat, zejména hydraulické v</w:t>
      </w:r>
      <w:r w:rsidR="005B66E2" w:rsidRPr="004F6176">
        <w:rPr>
          <w:sz w:val="22"/>
          <w:szCs w:val="22"/>
        </w:rPr>
        <w:t>odivosti, množství infiltrace a </w:t>
      </w:r>
      <w:r w:rsidRPr="004F6176">
        <w:rPr>
          <w:sz w:val="22"/>
          <w:szCs w:val="22"/>
        </w:rPr>
        <w:t>okrajových podmínek tak, aby byly výsledky modelu v souladu s naměřenými daty v terénu.</w:t>
      </w:r>
      <w:r w:rsidR="00D95D1B" w:rsidRPr="004F6176">
        <w:rPr>
          <w:sz w:val="22"/>
          <w:szCs w:val="22"/>
        </w:rPr>
        <w:t xml:space="preserve"> </w:t>
      </w:r>
      <w:r w:rsidR="0021616B" w:rsidRPr="004F6176">
        <w:rPr>
          <w:sz w:val="22"/>
          <w:szCs w:val="22"/>
        </w:rPr>
        <w:t>Z celkového počtu sledovaných objektů byly vyřazeny vrty, které reprezentují hlubší oběh podzemní vod</w:t>
      </w:r>
      <w:r w:rsidR="005C494F" w:rsidRPr="004F6176">
        <w:rPr>
          <w:sz w:val="22"/>
          <w:szCs w:val="22"/>
        </w:rPr>
        <w:t>y - tj. spodní turon a cenoman.</w:t>
      </w:r>
    </w:p>
    <w:p w:rsidR="00635734" w:rsidRPr="004F6176" w:rsidRDefault="008051E5" w:rsidP="008051E5">
      <w:pPr>
        <w:pStyle w:val="Zkladntextodsazen"/>
        <w:rPr>
          <w:sz w:val="22"/>
          <w:szCs w:val="22"/>
        </w:rPr>
      </w:pPr>
      <w:r w:rsidRPr="004F6176">
        <w:rPr>
          <w:sz w:val="22"/>
          <w:szCs w:val="22"/>
        </w:rPr>
        <w:lastRenderedPageBreak/>
        <w:t xml:space="preserve">Hladiny byly kalibrovány na </w:t>
      </w:r>
      <w:r w:rsidR="005B54E5" w:rsidRPr="004F6176">
        <w:rPr>
          <w:sz w:val="22"/>
          <w:szCs w:val="22"/>
        </w:rPr>
        <w:t>stav proudění podzemních vod na lokalitě</w:t>
      </w:r>
      <w:r w:rsidR="00FC4E72" w:rsidRPr="004F6176">
        <w:rPr>
          <w:sz w:val="22"/>
          <w:szCs w:val="22"/>
        </w:rPr>
        <w:t xml:space="preserve"> </w:t>
      </w:r>
      <w:r w:rsidR="00E96F37" w:rsidRPr="004F6176">
        <w:rPr>
          <w:sz w:val="22"/>
          <w:szCs w:val="22"/>
        </w:rPr>
        <w:t>při</w:t>
      </w:r>
      <w:r w:rsidR="0021616B" w:rsidRPr="004F6176">
        <w:rPr>
          <w:sz w:val="22"/>
          <w:szCs w:val="22"/>
        </w:rPr>
        <w:t> </w:t>
      </w:r>
      <w:r w:rsidR="00E96F37" w:rsidRPr="004F6176">
        <w:rPr>
          <w:sz w:val="22"/>
          <w:szCs w:val="22"/>
        </w:rPr>
        <w:t>sanačním čerpání</w:t>
      </w:r>
      <w:r w:rsidR="003E73CF" w:rsidRPr="004F6176">
        <w:rPr>
          <w:sz w:val="22"/>
          <w:szCs w:val="22"/>
        </w:rPr>
        <w:t xml:space="preserve"> </w:t>
      </w:r>
      <w:r w:rsidR="00014A4F" w:rsidRPr="004F6176">
        <w:rPr>
          <w:sz w:val="22"/>
          <w:szCs w:val="22"/>
        </w:rPr>
        <w:t>za požití naměřených dat z</w:t>
      </w:r>
      <w:r w:rsidR="00C233C9" w:rsidRPr="004F6176">
        <w:rPr>
          <w:sz w:val="22"/>
          <w:szCs w:val="22"/>
        </w:rPr>
        <w:t> II. čtvrtletí (duben – červen) roku 2016</w:t>
      </w:r>
      <w:r w:rsidR="00FC4E72" w:rsidRPr="004F6176">
        <w:rPr>
          <w:sz w:val="22"/>
          <w:szCs w:val="22"/>
        </w:rPr>
        <w:t xml:space="preserve">. </w:t>
      </w:r>
      <w:r w:rsidR="00635734" w:rsidRPr="004F6176">
        <w:rPr>
          <w:sz w:val="22"/>
          <w:szCs w:val="22"/>
        </w:rPr>
        <w:t xml:space="preserve">Součástí kalibrace byla úprava podmínek na základě výsledků hydrometrování na profilech </w:t>
      </w:r>
      <w:r w:rsidR="00275F60" w:rsidRPr="004F6176">
        <w:rPr>
          <w:sz w:val="22"/>
          <w:szCs w:val="22"/>
        </w:rPr>
        <w:t>zájmových vodotečí.</w:t>
      </w:r>
    </w:p>
    <w:p w:rsidR="001E470F" w:rsidRPr="004F6176" w:rsidRDefault="001E470F" w:rsidP="001E470F">
      <w:pPr>
        <w:pStyle w:val="Zkladntextodsazen"/>
        <w:rPr>
          <w:sz w:val="22"/>
          <w:szCs w:val="22"/>
        </w:rPr>
      </w:pPr>
      <w:r w:rsidRPr="004F6176">
        <w:rPr>
          <w:sz w:val="22"/>
          <w:szCs w:val="22"/>
        </w:rPr>
        <w:t>Úspěšnost kalibrace byla hodnocena statistickými metodami a následně graficky znázorněna. Hodnocení kalibrace pro modelovou vrstvu zobrazuj</w:t>
      </w:r>
      <w:r w:rsidR="00B520AB" w:rsidRPr="004F6176">
        <w:rPr>
          <w:sz w:val="22"/>
          <w:szCs w:val="22"/>
        </w:rPr>
        <w:t>e</w:t>
      </w:r>
      <w:r w:rsidRPr="004F6176">
        <w:rPr>
          <w:sz w:val="22"/>
          <w:szCs w:val="22"/>
        </w:rPr>
        <w:t xml:space="preserve"> graf č. 1. Statistické hodnocení po kalibraci modelu je uvedeno v tabulce č. </w:t>
      </w:r>
      <w:r w:rsidR="00D95D1B" w:rsidRPr="004F6176">
        <w:rPr>
          <w:sz w:val="22"/>
          <w:szCs w:val="22"/>
        </w:rPr>
        <w:t>4</w:t>
      </w:r>
      <w:r w:rsidRPr="004F6176">
        <w:rPr>
          <w:sz w:val="22"/>
          <w:szCs w:val="22"/>
        </w:rPr>
        <w:t>.</w:t>
      </w:r>
    </w:p>
    <w:p w:rsidR="00122E1C" w:rsidRPr="004F6176" w:rsidRDefault="00122E1C" w:rsidP="00635734">
      <w:pPr>
        <w:pStyle w:val="Zkladntextodsazen"/>
        <w:spacing w:before="0"/>
        <w:ind w:firstLine="0"/>
        <w:jc w:val="left"/>
        <w:rPr>
          <w:bCs/>
          <w:iCs/>
          <w:color w:val="000000"/>
          <w:sz w:val="20"/>
        </w:rPr>
      </w:pPr>
    </w:p>
    <w:p w:rsidR="00122E1C" w:rsidRPr="004F6176" w:rsidRDefault="00122E1C" w:rsidP="00635734">
      <w:pPr>
        <w:pStyle w:val="Zkladntextodsazen"/>
        <w:spacing w:before="0"/>
        <w:ind w:firstLine="0"/>
        <w:jc w:val="left"/>
        <w:rPr>
          <w:bCs/>
          <w:iCs/>
          <w:color w:val="000000"/>
          <w:sz w:val="20"/>
        </w:rPr>
      </w:pPr>
    </w:p>
    <w:p w:rsidR="00D40F59" w:rsidRPr="004F6176" w:rsidRDefault="00D40F59" w:rsidP="00737836">
      <w:pPr>
        <w:pStyle w:val="Zkladntextodsazen"/>
        <w:spacing w:after="120"/>
        <w:ind w:firstLine="0"/>
        <w:jc w:val="left"/>
        <w:rPr>
          <w:bCs/>
          <w:iCs/>
          <w:noProof/>
          <w:color w:val="000000"/>
          <w:sz w:val="20"/>
        </w:rPr>
      </w:pPr>
      <w:r w:rsidRPr="004F6176">
        <w:rPr>
          <w:i/>
          <w:iCs/>
          <w:sz w:val="20"/>
          <w:u w:val="single"/>
        </w:rPr>
        <w:t>Graf č. 1</w:t>
      </w:r>
      <w:r w:rsidR="00E03DBA" w:rsidRPr="004F6176">
        <w:rPr>
          <w:i/>
          <w:iCs/>
          <w:sz w:val="20"/>
          <w:u w:val="single"/>
        </w:rPr>
        <w:t>:</w:t>
      </w:r>
      <w:r w:rsidR="00E03DBA" w:rsidRPr="004F6176">
        <w:rPr>
          <w:i/>
          <w:iCs/>
          <w:sz w:val="20"/>
          <w:u w:val="single"/>
        </w:rPr>
        <w:tab/>
      </w:r>
      <w:r w:rsidR="00635734" w:rsidRPr="004F6176">
        <w:rPr>
          <w:i/>
          <w:iCs/>
          <w:sz w:val="20"/>
          <w:u w:val="single"/>
        </w:rPr>
        <w:t>Regresní analýza modelových/měřených hladin</w:t>
      </w:r>
    </w:p>
    <w:p w:rsidR="00737836" w:rsidRPr="004F6176" w:rsidRDefault="00AC0DAB" w:rsidP="00E03DBA">
      <w:pPr>
        <w:pStyle w:val="Zkladntextodsazen"/>
        <w:spacing w:after="60"/>
        <w:ind w:firstLine="0"/>
        <w:jc w:val="center"/>
        <w:rPr>
          <w:bCs/>
          <w:iCs/>
          <w:color w:val="000000"/>
          <w:sz w:val="20"/>
        </w:rPr>
      </w:pPr>
      <w:r w:rsidRPr="004F6176">
        <w:rPr>
          <w:bCs/>
          <w:iCs/>
          <w:noProof/>
          <w:color w:val="000000"/>
          <w:sz w:val="20"/>
        </w:rPr>
        <w:drawing>
          <wp:inline distT="0" distB="0" distL="0" distR="0">
            <wp:extent cx="4626000" cy="37908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libration_heads_MODEL_2015.BMP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6000" cy="37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E7A" w:rsidRPr="004F6176" w:rsidRDefault="00FE6E7A" w:rsidP="00635734">
      <w:pPr>
        <w:pStyle w:val="Zkladntextodsazen"/>
        <w:jc w:val="center"/>
        <w:rPr>
          <w:sz w:val="22"/>
          <w:szCs w:val="22"/>
        </w:rPr>
      </w:pPr>
    </w:p>
    <w:p w:rsidR="001E470F" w:rsidRPr="004F6176" w:rsidRDefault="001E470F" w:rsidP="00E03DBA">
      <w:pPr>
        <w:pStyle w:val="Zkladntextodsazen"/>
        <w:spacing w:after="120"/>
        <w:ind w:firstLine="0"/>
        <w:jc w:val="left"/>
        <w:rPr>
          <w:i/>
          <w:iCs/>
          <w:sz w:val="20"/>
          <w:u w:val="single"/>
        </w:rPr>
      </w:pPr>
      <w:r w:rsidRPr="004F6176">
        <w:rPr>
          <w:i/>
          <w:iCs/>
          <w:sz w:val="20"/>
          <w:u w:val="single"/>
        </w:rPr>
        <w:t xml:space="preserve">Tab. č. </w:t>
      </w:r>
      <w:r w:rsidR="00D95D1B" w:rsidRPr="004F6176">
        <w:rPr>
          <w:i/>
          <w:iCs/>
          <w:sz w:val="20"/>
          <w:u w:val="single"/>
        </w:rPr>
        <w:t>4</w:t>
      </w:r>
      <w:r w:rsidRPr="004F6176">
        <w:rPr>
          <w:i/>
          <w:iCs/>
          <w:sz w:val="20"/>
          <w:u w:val="single"/>
        </w:rPr>
        <w:t>:</w:t>
      </w:r>
      <w:r w:rsidR="00E03DBA" w:rsidRPr="004F6176">
        <w:rPr>
          <w:i/>
          <w:iCs/>
          <w:sz w:val="20"/>
          <w:u w:val="single"/>
        </w:rPr>
        <w:tab/>
      </w:r>
      <w:r w:rsidRPr="004F6176">
        <w:rPr>
          <w:i/>
          <w:iCs/>
          <w:sz w:val="20"/>
          <w:u w:val="single"/>
        </w:rPr>
        <w:t>Statistická data hodnotící kalibraci modelu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4799"/>
      </w:tblGrid>
      <w:tr w:rsidR="001E470F" w:rsidRPr="004F6176" w:rsidTr="00C20028">
        <w:trPr>
          <w:jc w:val="center"/>
        </w:trPr>
        <w:tc>
          <w:tcPr>
            <w:tcW w:w="2500" w:type="pct"/>
            <w:shd w:val="pct15" w:color="auto" w:fill="auto"/>
            <w:vAlign w:val="center"/>
          </w:tcPr>
          <w:p w:rsidR="001E470F" w:rsidRPr="004F6176" w:rsidRDefault="001E470F" w:rsidP="00C20028">
            <w:pPr>
              <w:pStyle w:val="Zkladntext"/>
              <w:tabs>
                <w:tab w:val="left" w:pos="1728"/>
              </w:tabs>
              <w:jc w:val="center"/>
              <w:rPr>
                <w:b w:val="0"/>
                <w:bCs/>
                <w:i w:val="0"/>
                <w:iCs/>
                <w:sz w:val="20"/>
              </w:rPr>
            </w:pPr>
            <w:r w:rsidRPr="004F6176">
              <w:rPr>
                <w:b w:val="0"/>
                <w:bCs/>
                <w:i w:val="0"/>
                <w:iCs/>
                <w:sz w:val="20"/>
              </w:rPr>
              <w:t>Statistický ukazatel</w:t>
            </w:r>
          </w:p>
        </w:tc>
        <w:tc>
          <w:tcPr>
            <w:tcW w:w="2500" w:type="pct"/>
            <w:shd w:val="pct15" w:color="auto" w:fill="auto"/>
            <w:vAlign w:val="center"/>
          </w:tcPr>
          <w:p w:rsidR="001E470F" w:rsidRPr="004F6176" w:rsidRDefault="001E470F" w:rsidP="00C20028">
            <w:pPr>
              <w:pStyle w:val="Zkladntext"/>
              <w:tabs>
                <w:tab w:val="left" w:pos="1728"/>
              </w:tabs>
              <w:jc w:val="center"/>
              <w:rPr>
                <w:b w:val="0"/>
                <w:bCs/>
                <w:i w:val="0"/>
                <w:iCs/>
                <w:sz w:val="20"/>
              </w:rPr>
            </w:pPr>
            <w:r w:rsidRPr="004F6176">
              <w:rPr>
                <w:b w:val="0"/>
                <w:bCs/>
                <w:i w:val="0"/>
                <w:iCs/>
                <w:sz w:val="20"/>
              </w:rPr>
              <w:t>Hodnota</w:t>
            </w:r>
          </w:p>
        </w:tc>
      </w:tr>
      <w:tr w:rsidR="001E470F" w:rsidRPr="004F6176" w:rsidTr="00C20028">
        <w:trPr>
          <w:jc w:val="center"/>
        </w:trPr>
        <w:tc>
          <w:tcPr>
            <w:tcW w:w="2500" w:type="pct"/>
            <w:vAlign w:val="center"/>
          </w:tcPr>
          <w:p w:rsidR="001E470F" w:rsidRPr="004F6176" w:rsidRDefault="001E470F" w:rsidP="00C20028">
            <w:pPr>
              <w:pStyle w:val="Zkladntext"/>
              <w:tabs>
                <w:tab w:val="left" w:pos="1728"/>
              </w:tabs>
              <w:rPr>
                <w:b w:val="0"/>
                <w:bCs/>
                <w:i w:val="0"/>
                <w:iCs/>
                <w:sz w:val="20"/>
              </w:rPr>
            </w:pPr>
            <w:r w:rsidRPr="004F6176">
              <w:rPr>
                <w:b w:val="0"/>
                <w:bCs/>
                <w:i w:val="0"/>
                <w:iCs/>
                <w:sz w:val="20"/>
              </w:rPr>
              <w:t>Normalizovaná směrodatná odchylka N.R.M.S. [%]</w:t>
            </w:r>
          </w:p>
        </w:tc>
        <w:tc>
          <w:tcPr>
            <w:tcW w:w="2500" w:type="pct"/>
            <w:vAlign w:val="center"/>
          </w:tcPr>
          <w:p w:rsidR="001E470F" w:rsidRPr="004F6176" w:rsidRDefault="00615F94" w:rsidP="00737836">
            <w:pPr>
              <w:pStyle w:val="Zkladntext"/>
              <w:tabs>
                <w:tab w:val="left" w:pos="1728"/>
              </w:tabs>
              <w:jc w:val="center"/>
              <w:rPr>
                <w:b w:val="0"/>
                <w:bCs/>
                <w:i w:val="0"/>
                <w:iCs/>
                <w:sz w:val="20"/>
                <w:lang w:val="en-US"/>
              </w:rPr>
            </w:pPr>
            <w:r w:rsidRPr="004F6176">
              <w:rPr>
                <w:b w:val="0"/>
                <w:bCs/>
                <w:i w:val="0"/>
                <w:iCs/>
                <w:sz w:val="20"/>
                <w:lang w:val="en-US"/>
              </w:rPr>
              <w:t>5</w:t>
            </w:r>
            <w:r w:rsidR="00D24535" w:rsidRPr="004F6176">
              <w:rPr>
                <w:b w:val="0"/>
                <w:bCs/>
                <w:i w:val="0"/>
                <w:iCs/>
                <w:sz w:val="20"/>
                <w:lang w:val="en-US"/>
              </w:rPr>
              <w:t>,</w:t>
            </w:r>
            <w:r w:rsidR="00737836" w:rsidRPr="004F6176">
              <w:rPr>
                <w:b w:val="0"/>
                <w:bCs/>
                <w:i w:val="0"/>
                <w:iCs/>
                <w:sz w:val="20"/>
                <w:lang w:val="en-US"/>
              </w:rPr>
              <w:t>6</w:t>
            </w:r>
            <w:r w:rsidRPr="004F6176">
              <w:rPr>
                <w:b w:val="0"/>
                <w:bCs/>
                <w:i w:val="0"/>
                <w:iCs/>
                <w:sz w:val="20"/>
                <w:lang w:val="en-US"/>
              </w:rPr>
              <w:t>0</w:t>
            </w:r>
          </w:p>
        </w:tc>
      </w:tr>
      <w:tr w:rsidR="001E470F" w:rsidRPr="004F6176" w:rsidTr="00C20028">
        <w:trPr>
          <w:jc w:val="center"/>
        </w:trPr>
        <w:tc>
          <w:tcPr>
            <w:tcW w:w="2500" w:type="pct"/>
            <w:vAlign w:val="center"/>
          </w:tcPr>
          <w:p w:rsidR="001E470F" w:rsidRPr="004F6176" w:rsidRDefault="001E470F" w:rsidP="00C20028">
            <w:pPr>
              <w:pStyle w:val="Zkladntext"/>
              <w:tabs>
                <w:tab w:val="left" w:pos="1728"/>
              </w:tabs>
              <w:rPr>
                <w:b w:val="0"/>
                <w:bCs/>
                <w:i w:val="0"/>
                <w:iCs/>
                <w:sz w:val="20"/>
              </w:rPr>
            </w:pPr>
            <w:r w:rsidRPr="004F6176">
              <w:rPr>
                <w:b w:val="0"/>
                <w:bCs/>
                <w:i w:val="0"/>
                <w:iCs/>
                <w:sz w:val="20"/>
              </w:rPr>
              <w:t>Průměrná hodnota reziduí [m]</w:t>
            </w:r>
          </w:p>
        </w:tc>
        <w:tc>
          <w:tcPr>
            <w:tcW w:w="2500" w:type="pct"/>
            <w:vAlign w:val="center"/>
          </w:tcPr>
          <w:p w:rsidR="001E470F" w:rsidRPr="004F6176" w:rsidRDefault="00FE6E7A" w:rsidP="00737836">
            <w:pPr>
              <w:pStyle w:val="Zkladntext"/>
              <w:jc w:val="center"/>
              <w:rPr>
                <w:b w:val="0"/>
                <w:bCs/>
                <w:i w:val="0"/>
                <w:iCs/>
                <w:sz w:val="20"/>
              </w:rPr>
            </w:pPr>
            <w:r w:rsidRPr="004F6176">
              <w:rPr>
                <w:b w:val="0"/>
                <w:bCs/>
                <w:i w:val="0"/>
                <w:iCs/>
                <w:sz w:val="20"/>
              </w:rPr>
              <w:t>0,</w:t>
            </w:r>
            <w:r w:rsidR="00615F94" w:rsidRPr="004F6176">
              <w:rPr>
                <w:b w:val="0"/>
                <w:bCs/>
                <w:i w:val="0"/>
                <w:iCs/>
                <w:sz w:val="20"/>
              </w:rPr>
              <w:t>66</w:t>
            </w:r>
          </w:p>
        </w:tc>
      </w:tr>
      <w:tr w:rsidR="001E470F" w:rsidRPr="004F6176" w:rsidTr="00C20028">
        <w:trPr>
          <w:jc w:val="center"/>
        </w:trPr>
        <w:tc>
          <w:tcPr>
            <w:tcW w:w="2500" w:type="pct"/>
            <w:vAlign w:val="center"/>
          </w:tcPr>
          <w:p w:rsidR="001E470F" w:rsidRPr="004F6176" w:rsidRDefault="001E470F" w:rsidP="00C20028">
            <w:pPr>
              <w:pStyle w:val="Zkladntext"/>
              <w:tabs>
                <w:tab w:val="left" w:pos="1728"/>
              </w:tabs>
              <w:rPr>
                <w:b w:val="0"/>
                <w:bCs/>
                <w:i w:val="0"/>
                <w:iCs/>
                <w:sz w:val="20"/>
              </w:rPr>
            </w:pPr>
            <w:r w:rsidRPr="004F6176">
              <w:rPr>
                <w:b w:val="0"/>
                <w:bCs/>
                <w:i w:val="0"/>
                <w:iCs/>
                <w:sz w:val="20"/>
              </w:rPr>
              <w:t>Absolutní průměr reziduí  [m]</w:t>
            </w:r>
          </w:p>
        </w:tc>
        <w:tc>
          <w:tcPr>
            <w:tcW w:w="2500" w:type="pct"/>
            <w:vAlign w:val="center"/>
          </w:tcPr>
          <w:p w:rsidR="001E470F" w:rsidRPr="004F6176" w:rsidRDefault="00E03DBA" w:rsidP="00737836">
            <w:pPr>
              <w:pStyle w:val="Zkladntext"/>
              <w:tabs>
                <w:tab w:val="left" w:pos="1728"/>
              </w:tabs>
              <w:jc w:val="center"/>
              <w:rPr>
                <w:b w:val="0"/>
                <w:bCs/>
                <w:i w:val="0"/>
                <w:iCs/>
                <w:sz w:val="20"/>
              </w:rPr>
            </w:pPr>
            <w:r w:rsidRPr="004F6176">
              <w:rPr>
                <w:b w:val="0"/>
                <w:bCs/>
                <w:i w:val="0"/>
                <w:iCs/>
                <w:sz w:val="20"/>
              </w:rPr>
              <w:t>1,</w:t>
            </w:r>
            <w:r w:rsidR="00737836" w:rsidRPr="004F6176">
              <w:rPr>
                <w:b w:val="0"/>
                <w:bCs/>
                <w:i w:val="0"/>
                <w:iCs/>
                <w:sz w:val="20"/>
              </w:rPr>
              <w:t>8</w:t>
            </w:r>
            <w:r w:rsidR="00615F94" w:rsidRPr="004F6176">
              <w:rPr>
                <w:b w:val="0"/>
                <w:bCs/>
                <w:i w:val="0"/>
                <w:iCs/>
                <w:sz w:val="20"/>
              </w:rPr>
              <w:t>4</w:t>
            </w:r>
          </w:p>
        </w:tc>
      </w:tr>
      <w:tr w:rsidR="001E470F" w:rsidRPr="004F6176" w:rsidTr="00C20028">
        <w:trPr>
          <w:jc w:val="center"/>
        </w:trPr>
        <w:tc>
          <w:tcPr>
            <w:tcW w:w="2500" w:type="pct"/>
            <w:vAlign w:val="center"/>
          </w:tcPr>
          <w:p w:rsidR="001E470F" w:rsidRPr="004F6176" w:rsidRDefault="001E470F" w:rsidP="00C20028">
            <w:pPr>
              <w:pStyle w:val="Zkladntext"/>
              <w:tabs>
                <w:tab w:val="left" w:pos="1728"/>
              </w:tabs>
              <w:rPr>
                <w:b w:val="0"/>
                <w:bCs/>
                <w:i w:val="0"/>
                <w:iCs/>
                <w:sz w:val="20"/>
              </w:rPr>
            </w:pPr>
            <w:r w:rsidRPr="004F6176">
              <w:rPr>
                <w:b w:val="0"/>
                <w:bCs/>
                <w:i w:val="0"/>
                <w:iCs/>
                <w:sz w:val="20"/>
              </w:rPr>
              <w:t>Korelační koeficient</w:t>
            </w:r>
          </w:p>
        </w:tc>
        <w:tc>
          <w:tcPr>
            <w:tcW w:w="2500" w:type="pct"/>
            <w:vAlign w:val="center"/>
          </w:tcPr>
          <w:p w:rsidR="001E470F" w:rsidRPr="004F6176" w:rsidRDefault="001E470F" w:rsidP="00D24535">
            <w:pPr>
              <w:pStyle w:val="Zkladntext"/>
              <w:tabs>
                <w:tab w:val="left" w:pos="1728"/>
              </w:tabs>
              <w:jc w:val="center"/>
              <w:rPr>
                <w:b w:val="0"/>
                <w:bCs/>
                <w:i w:val="0"/>
                <w:iCs/>
                <w:sz w:val="20"/>
              </w:rPr>
            </w:pPr>
            <w:r w:rsidRPr="004F6176">
              <w:rPr>
                <w:b w:val="0"/>
                <w:bCs/>
                <w:i w:val="0"/>
                <w:iCs/>
                <w:sz w:val="20"/>
              </w:rPr>
              <w:t>0,9</w:t>
            </w:r>
            <w:r w:rsidR="00014A4F" w:rsidRPr="004F6176">
              <w:rPr>
                <w:b w:val="0"/>
                <w:bCs/>
                <w:i w:val="0"/>
                <w:iCs/>
                <w:sz w:val="20"/>
              </w:rPr>
              <w:t>7</w:t>
            </w:r>
          </w:p>
        </w:tc>
      </w:tr>
    </w:tbl>
    <w:p w:rsidR="00FE6E7A" w:rsidRPr="004F6176" w:rsidRDefault="00FE6E7A" w:rsidP="001E470F">
      <w:pPr>
        <w:pStyle w:val="Zkladntextodsazen"/>
        <w:rPr>
          <w:sz w:val="22"/>
          <w:szCs w:val="22"/>
        </w:rPr>
      </w:pPr>
    </w:p>
    <w:p w:rsidR="001E470F" w:rsidRPr="004F6176" w:rsidRDefault="001E470F" w:rsidP="001E470F">
      <w:pPr>
        <w:pStyle w:val="Zkladntextodsazen"/>
        <w:rPr>
          <w:sz w:val="22"/>
          <w:szCs w:val="22"/>
        </w:rPr>
      </w:pPr>
      <w:r w:rsidRPr="004F6176">
        <w:rPr>
          <w:sz w:val="22"/>
          <w:szCs w:val="22"/>
        </w:rPr>
        <w:t>Výsledek kalibrace lze hodnotit jako velmi přijatelný, a to vzhledem k nízké hodnotě N.R.M.S. modelové vrstvy (</w:t>
      </w:r>
      <w:r w:rsidR="00615F94" w:rsidRPr="004F6176">
        <w:rPr>
          <w:sz w:val="22"/>
          <w:szCs w:val="22"/>
        </w:rPr>
        <w:t>5</w:t>
      </w:r>
      <w:r w:rsidR="005C494F" w:rsidRPr="004F6176">
        <w:rPr>
          <w:sz w:val="22"/>
          <w:szCs w:val="22"/>
        </w:rPr>
        <w:t>,6</w:t>
      </w:r>
      <w:r w:rsidRPr="004F6176">
        <w:rPr>
          <w:sz w:val="22"/>
          <w:szCs w:val="22"/>
        </w:rPr>
        <w:t> </w:t>
      </w:r>
      <w:r w:rsidRPr="004F6176">
        <w:rPr>
          <w:sz w:val="22"/>
          <w:szCs w:val="22"/>
          <w:lang w:val="en-US"/>
        </w:rPr>
        <w:t>%) a korelačního koeficientu (0,9</w:t>
      </w:r>
      <w:r w:rsidR="00615F94" w:rsidRPr="004F6176">
        <w:rPr>
          <w:sz w:val="22"/>
          <w:szCs w:val="22"/>
          <w:lang w:val="en-US"/>
        </w:rPr>
        <w:t>7</w:t>
      </w:r>
      <w:r w:rsidRPr="004F6176">
        <w:rPr>
          <w:sz w:val="22"/>
          <w:szCs w:val="22"/>
          <w:lang w:val="en-US"/>
        </w:rPr>
        <w:t>).</w:t>
      </w:r>
      <w:r w:rsidRPr="004F6176">
        <w:rPr>
          <w:sz w:val="22"/>
          <w:szCs w:val="22"/>
        </w:rPr>
        <w:t xml:space="preserve"> Z průměrných hodnot reziduí je zřejmé, že kalibrované modelové hladiny leží u modelové zvodně v průměru o 0,</w:t>
      </w:r>
      <w:r w:rsidR="00615F94" w:rsidRPr="004F6176">
        <w:rPr>
          <w:sz w:val="22"/>
          <w:szCs w:val="22"/>
        </w:rPr>
        <w:t>66</w:t>
      </w:r>
      <w:r w:rsidRPr="004F6176">
        <w:rPr>
          <w:sz w:val="22"/>
          <w:szCs w:val="22"/>
        </w:rPr>
        <w:t xml:space="preserve"> m výše než hladiny měřené v terénu.</w:t>
      </w:r>
    </w:p>
    <w:p w:rsidR="008051E5" w:rsidRPr="004F6176" w:rsidRDefault="001E470F" w:rsidP="008051E5">
      <w:pPr>
        <w:pStyle w:val="Zkladntextodsazen"/>
        <w:rPr>
          <w:sz w:val="22"/>
          <w:szCs w:val="22"/>
        </w:rPr>
      </w:pPr>
      <w:r w:rsidRPr="004F6176">
        <w:rPr>
          <w:sz w:val="22"/>
          <w:szCs w:val="22"/>
        </w:rPr>
        <w:t>Nepřesnosti v rozdílech hladin jsou způsobeny  nehomogenitou horninového prostředí, jež modelová simulace zohlední pouze na základě dostupných dat. Tyto odchylky se projevují na nepřesnosti modelové simulace.</w:t>
      </w:r>
    </w:p>
    <w:p w:rsidR="00B3274D" w:rsidRPr="004F6176" w:rsidRDefault="00B3274D" w:rsidP="008051E5">
      <w:pPr>
        <w:pStyle w:val="Zkladntextodsazen"/>
        <w:rPr>
          <w:sz w:val="22"/>
          <w:szCs w:val="22"/>
        </w:rPr>
      </w:pPr>
    </w:p>
    <w:p w:rsidR="00B3274D" w:rsidRPr="004F6176" w:rsidRDefault="00B3274D" w:rsidP="008051E5">
      <w:pPr>
        <w:pStyle w:val="Zkladntextodsazen"/>
        <w:rPr>
          <w:sz w:val="2"/>
        </w:rPr>
      </w:pPr>
    </w:p>
    <w:p w:rsidR="008051E5" w:rsidRPr="004F6176" w:rsidRDefault="00723502" w:rsidP="005A1133">
      <w:pPr>
        <w:pStyle w:val="Nadpis1"/>
      </w:pPr>
      <w:bookmarkStart w:id="37" w:name="_Toc176000231"/>
      <w:bookmarkStart w:id="38" w:name="_Toc187653500"/>
      <w:bookmarkStart w:id="39" w:name="_Toc405386075"/>
      <w:bookmarkStart w:id="40" w:name="_Toc405386154"/>
      <w:r w:rsidRPr="004F6176">
        <w:lastRenderedPageBreak/>
        <w:t>5</w:t>
      </w:r>
      <w:r w:rsidR="001E3E21" w:rsidRPr="004F6176">
        <w:t>.</w:t>
      </w:r>
      <w:r w:rsidR="00DB2439" w:rsidRPr="004F6176">
        <w:tab/>
      </w:r>
      <w:r w:rsidR="008051E5" w:rsidRPr="004F6176">
        <w:t>Výsledky modelového řešení</w:t>
      </w:r>
      <w:bookmarkEnd w:id="37"/>
      <w:bookmarkEnd w:id="38"/>
      <w:bookmarkEnd w:id="39"/>
      <w:bookmarkEnd w:id="40"/>
    </w:p>
    <w:p w:rsidR="008051E5" w:rsidRPr="004F6176" w:rsidRDefault="00723502" w:rsidP="005A1133">
      <w:pPr>
        <w:pStyle w:val="Nadpis2"/>
        <w:numPr>
          <w:ilvl w:val="0"/>
          <w:numId w:val="0"/>
        </w:numPr>
      </w:pPr>
      <w:bookmarkStart w:id="41" w:name="_Toc176000232"/>
      <w:bookmarkStart w:id="42" w:name="_Toc187653501"/>
      <w:bookmarkStart w:id="43" w:name="_Toc405386076"/>
      <w:bookmarkStart w:id="44" w:name="_Toc405386155"/>
      <w:r w:rsidRPr="004F6176">
        <w:t>5</w:t>
      </w:r>
      <w:r w:rsidR="005B66E2" w:rsidRPr="004F6176">
        <w:t>.1</w:t>
      </w:r>
      <w:r w:rsidR="00DB2439" w:rsidRPr="004F6176">
        <w:tab/>
        <w:t xml:space="preserve"> </w:t>
      </w:r>
      <w:r w:rsidR="008051E5" w:rsidRPr="004F6176">
        <w:t>Hydraulická část</w:t>
      </w:r>
      <w:bookmarkEnd w:id="41"/>
      <w:bookmarkEnd w:id="42"/>
      <w:bookmarkEnd w:id="43"/>
      <w:bookmarkEnd w:id="44"/>
    </w:p>
    <w:p w:rsidR="008051E5" w:rsidRPr="004F6176" w:rsidRDefault="00723502" w:rsidP="001E3E21">
      <w:pPr>
        <w:pStyle w:val="Nadpis3"/>
        <w:numPr>
          <w:ilvl w:val="0"/>
          <w:numId w:val="0"/>
        </w:numPr>
      </w:pPr>
      <w:bookmarkStart w:id="45" w:name="_Toc176000233"/>
      <w:bookmarkStart w:id="46" w:name="_Toc187653502"/>
      <w:bookmarkStart w:id="47" w:name="_Toc405386077"/>
      <w:bookmarkStart w:id="48" w:name="_Toc405386156"/>
      <w:r w:rsidRPr="004F6176">
        <w:t>5</w:t>
      </w:r>
      <w:r w:rsidR="005B66E2" w:rsidRPr="004F6176">
        <w:t>.1.1</w:t>
      </w:r>
      <w:r w:rsidR="006620D9" w:rsidRPr="004F6176">
        <w:tab/>
      </w:r>
      <w:r w:rsidR="007357B9" w:rsidRPr="004F6176">
        <w:t>Nes</w:t>
      </w:r>
      <w:r w:rsidR="008051E5" w:rsidRPr="004F6176">
        <w:t xml:space="preserve">tacionární simulace </w:t>
      </w:r>
      <w:r w:rsidR="002112BB" w:rsidRPr="004F6176">
        <w:t xml:space="preserve">ovlivněného </w:t>
      </w:r>
      <w:r w:rsidR="008051E5" w:rsidRPr="004F6176">
        <w:t>proudění podzemní vody</w:t>
      </w:r>
      <w:bookmarkEnd w:id="45"/>
      <w:bookmarkEnd w:id="46"/>
      <w:bookmarkEnd w:id="47"/>
      <w:bookmarkEnd w:id="48"/>
      <w:r w:rsidR="008051E5" w:rsidRPr="004F6176">
        <w:t xml:space="preserve"> </w:t>
      </w:r>
    </w:p>
    <w:p w:rsidR="00005652" w:rsidRPr="004F6176" w:rsidRDefault="001C47BE" w:rsidP="008051E5">
      <w:pPr>
        <w:pStyle w:val="Zkladntextodsazen"/>
        <w:rPr>
          <w:sz w:val="22"/>
          <w:szCs w:val="22"/>
        </w:rPr>
      </w:pPr>
      <w:r w:rsidRPr="004F6176">
        <w:rPr>
          <w:sz w:val="22"/>
          <w:szCs w:val="22"/>
        </w:rPr>
        <w:t xml:space="preserve">Simulace proudění podzemní vody byla provedena </w:t>
      </w:r>
      <w:r w:rsidR="005B354F" w:rsidRPr="004F6176">
        <w:rPr>
          <w:sz w:val="22"/>
          <w:szCs w:val="22"/>
        </w:rPr>
        <w:t xml:space="preserve">jako </w:t>
      </w:r>
      <w:r w:rsidR="007357B9" w:rsidRPr="004F6176">
        <w:rPr>
          <w:sz w:val="22"/>
          <w:szCs w:val="22"/>
        </w:rPr>
        <w:t>ne</w:t>
      </w:r>
      <w:r w:rsidR="005B354F" w:rsidRPr="004F6176">
        <w:rPr>
          <w:sz w:val="22"/>
          <w:szCs w:val="22"/>
        </w:rPr>
        <w:t xml:space="preserve">stacionární, a to </w:t>
      </w:r>
      <w:r w:rsidRPr="004F6176">
        <w:rPr>
          <w:sz w:val="22"/>
          <w:szCs w:val="22"/>
        </w:rPr>
        <w:t xml:space="preserve">na úrovni hladin </w:t>
      </w:r>
      <w:r w:rsidR="005B354F" w:rsidRPr="004F6176">
        <w:rPr>
          <w:sz w:val="22"/>
          <w:szCs w:val="22"/>
        </w:rPr>
        <w:t xml:space="preserve">sledovaných objektů </w:t>
      </w:r>
      <w:r w:rsidRPr="004F6176">
        <w:rPr>
          <w:sz w:val="22"/>
          <w:szCs w:val="22"/>
        </w:rPr>
        <w:t xml:space="preserve">z </w:t>
      </w:r>
      <w:r w:rsidR="00DB4167" w:rsidRPr="004F6176">
        <w:rPr>
          <w:sz w:val="22"/>
          <w:szCs w:val="22"/>
        </w:rPr>
        <w:t>minulých modelových řešení (2010–201</w:t>
      </w:r>
      <w:r w:rsidR="00DE770E" w:rsidRPr="004F6176">
        <w:rPr>
          <w:sz w:val="22"/>
          <w:szCs w:val="22"/>
        </w:rPr>
        <w:t>5</w:t>
      </w:r>
      <w:r w:rsidR="00DB4167" w:rsidRPr="004F6176">
        <w:rPr>
          <w:sz w:val="22"/>
          <w:szCs w:val="22"/>
        </w:rPr>
        <w:t>) a na úrovni hladin z</w:t>
      </w:r>
      <w:r w:rsidR="00DE770E" w:rsidRPr="004F6176">
        <w:rPr>
          <w:sz w:val="22"/>
          <w:szCs w:val="22"/>
        </w:rPr>
        <w:t>e II</w:t>
      </w:r>
      <w:r w:rsidR="00BE1936" w:rsidRPr="004F6176">
        <w:rPr>
          <w:sz w:val="22"/>
          <w:szCs w:val="22"/>
        </w:rPr>
        <w:t xml:space="preserve">. </w:t>
      </w:r>
      <w:r w:rsidR="005C2142" w:rsidRPr="004F6176">
        <w:rPr>
          <w:sz w:val="22"/>
          <w:szCs w:val="22"/>
        </w:rPr>
        <w:t>č</w:t>
      </w:r>
      <w:r w:rsidR="00BE1936" w:rsidRPr="004F6176">
        <w:rPr>
          <w:sz w:val="22"/>
          <w:szCs w:val="22"/>
        </w:rPr>
        <w:t>tvrtletí</w:t>
      </w:r>
      <w:r w:rsidR="00DE770E" w:rsidRPr="004F6176">
        <w:rPr>
          <w:sz w:val="22"/>
          <w:szCs w:val="22"/>
        </w:rPr>
        <w:t xml:space="preserve"> (duben – červen</w:t>
      </w:r>
      <w:r w:rsidR="005C2142" w:rsidRPr="004F6176">
        <w:rPr>
          <w:sz w:val="22"/>
          <w:szCs w:val="22"/>
        </w:rPr>
        <w:t xml:space="preserve">) </w:t>
      </w:r>
      <w:r w:rsidR="00BE1936" w:rsidRPr="004F6176">
        <w:rPr>
          <w:sz w:val="22"/>
          <w:szCs w:val="22"/>
        </w:rPr>
        <w:t>roku</w:t>
      </w:r>
      <w:r w:rsidR="00416FBC" w:rsidRPr="004F6176">
        <w:rPr>
          <w:sz w:val="22"/>
          <w:szCs w:val="22"/>
        </w:rPr>
        <w:t xml:space="preserve"> </w:t>
      </w:r>
      <w:r w:rsidRPr="004F6176">
        <w:rPr>
          <w:sz w:val="22"/>
          <w:szCs w:val="22"/>
        </w:rPr>
        <w:t>201</w:t>
      </w:r>
      <w:r w:rsidR="00DE770E" w:rsidRPr="004F6176">
        <w:rPr>
          <w:sz w:val="22"/>
          <w:szCs w:val="22"/>
        </w:rPr>
        <w:t>6</w:t>
      </w:r>
      <w:r w:rsidRPr="004F6176">
        <w:rPr>
          <w:sz w:val="22"/>
          <w:szCs w:val="22"/>
        </w:rPr>
        <w:t xml:space="preserve">. </w:t>
      </w:r>
      <w:r w:rsidR="00E960A0" w:rsidRPr="004F6176">
        <w:rPr>
          <w:sz w:val="22"/>
          <w:szCs w:val="22"/>
        </w:rPr>
        <w:t xml:space="preserve">Tato simulace </w:t>
      </w:r>
      <w:r w:rsidR="0087116F" w:rsidRPr="004F6176">
        <w:rPr>
          <w:sz w:val="22"/>
          <w:szCs w:val="22"/>
        </w:rPr>
        <w:t xml:space="preserve">proudění podzemní vody </w:t>
      </w:r>
      <w:r w:rsidR="00E960A0" w:rsidRPr="004F6176">
        <w:rPr>
          <w:sz w:val="22"/>
          <w:szCs w:val="22"/>
        </w:rPr>
        <w:t xml:space="preserve">byla sestavena pro účely </w:t>
      </w:r>
      <w:r w:rsidR="0087116F" w:rsidRPr="004F6176">
        <w:rPr>
          <w:sz w:val="22"/>
          <w:szCs w:val="22"/>
        </w:rPr>
        <w:t xml:space="preserve">kvantifikace transportu </w:t>
      </w:r>
      <w:r w:rsidR="00416FBC" w:rsidRPr="004F6176">
        <w:rPr>
          <w:sz w:val="22"/>
          <w:szCs w:val="22"/>
        </w:rPr>
        <w:t>perchlorethylenu</w:t>
      </w:r>
      <w:r w:rsidR="00E960A0" w:rsidRPr="004F6176">
        <w:rPr>
          <w:sz w:val="22"/>
          <w:szCs w:val="22"/>
        </w:rPr>
        <w:t xml:space="preserve"> v</w:t>
      </w:r>
      <w:r w:rsidR="00DB4167" w:rsidRPr="004F6176">
        <w:rPr>
          <w:sz w:val="22"/>
          <w:szCs w:val="22"/>
        </w:rPr>
        <w:t> </w:t>
      </w:r>
      <w:r w:rsidR="00E960A0" w:rsidRPr="004F6176">
        <w:rPr>
          <w:sz w:val="22"/>
          <w:szCs w:val="22"/>
        </w:rPr>
        <w:t>podzemní vodě.</w:t>
      </w:r>
      <w:r w:rsidR="0070181A" w:rsidRPr="004F6176">
        <w:rPr>
          <w:sz w:val="22"/>
          <w:szCs w:val="22"/>
        </w:rPr>
        <w:t xml:space="preserve"> </w:t>
      </w:r>
      <w:r w:rsidR="004C077D" w:rsidRPr="004F6176">
        <w:rPr>
          <w:sz w:val="22"/>
          <w:szCs w:val="22"/>
        </w:rPr>
        <w:t xml:space="preserve">Výsledek </w:t>
      </w:r>
      <w:r w:rsidR="00DB4167" w:rsidRPr="004F6176">
        <w:rPr>
          <w:sz w:val="22"/>
          <w:szCs w:val="22"/>
        </w:rPr>
        <w:t>ne</w:t>
      </w:r>
      <w:r w:rsidR="004C077D" w:rsidRPr="004F6176">
        <w:rPr>
          <w:sz w:val="22"/>
          <w:szCs w:val="22"/>
        </w:rPr>
        <w:t>stacionárního proudění podzemní vody</w:t>
      </w:r>
      <w:r w:rsidR="00D3093B" w:rsidRPr="004F6176">
        <w:rPr>
          <w:sz w:val="22"/>
          <w:szCs w:val="22"/>
        </w:rPr>
        <w:t xml:space="preserve"> je znázorněn</w:t>
      </w:r>
      <w:r w:rsidR="00946484" w:rsidRPr="004F6176">
        <w:rPr>
          <w:sz w:val="22"/>
          <w:szCs w:val="22"/>
        </w:rPr>
        <w:t xml:space="preserve"> v mapě hydroizohyps v příloze č.</w:t>
      </w:r>
      <w:r w:rsidR="003114B0" w:rsidRPr="004F6176">
        <w:rPr>
          <w:sz w:val="22"/>
          <w:szCs w:val="22"/>
        </w:rPr>
        <w:t> </w:t>
      </w:r>
      <w:r w:rsidR="006F02FD" w:rsidRPr="004F6176">
        <w:rPr>
          <w:sz w:val="22"/>
          <w:szCs w:val="22"/>
        </w:rPr>
        <w:t>6</w:t>
      </w:r>
      <w:r w:rsidR="00416FBC" w:rsidRPr="004F6176">
        <w:rPr>
          <w:sz w:val="22"/>
          <w:szCs w:val="22"/>
        </w:rPr>
        <w:t>.1 a 6.2</w:t>
      </w:r>
      <w:r w:rsidR="00BE35D1" w:rsidRPr="004F6176">
        <w:rPr>
          <w:sz w:val="22"/>
          <w:szCs w:val="22"/>
        </w:rPr>
        <w:t>.</w:t>
      </w:r>
      <w:r w:rsidR="0087116F" w:rsidRPr="004F6176">
        <w:rPr>
          <w:sz w:val="22"/>
          <w:szCs w:val="22"/>
        </w:rPr>
        <w:t xml:space="preserve"> </w:t>
      </w:r>
      <w:r w:rsidR="000977FB" w:rsidRPr="004F6176">
        <w:rPr>
          <w:sz w:val="22"/>
          <w:szCs w:val="22"/>
        </w:rPr>
        <w:t>M</w:t>
      </w:r>
      <w:r w:rsidR="00CF39A7" w:rsidRPr="004F6176">
        <w:rPr>
          <w:sz w:val="22"/>
          <w:szCs w:val="22"/>
        </w:rPr>
        <w:t xml:space="preserve">odelová zvodeň </w:t>
      </w:r>
      <w:r w:rsidR="000977FB" w:rsidRPr="004F6176">
        <w:rPr>
          <w:sz w:val="22"/>
          <w:szCs w:val="22"/>
        </w:rPr>
        <w:t xml:space="preserve">zjednodušeně </w:t>
      </w:r>
      <w:r w:rsidR="00CF39A7" w:rsidRPr="004F6176">
        <w:rPr>
          <w:sz w:val="22"/>
          <w:szCs w:val="22"/>
        </w:rPr>
        <w:t>simuluje pohyb podzemní vody ve</w:t>
      </w:r>
      <w:r w:rsidR="00501534" w:rsidRPr="004F6176">
        <w:rPr>
          <w:sz w:val="22"/>
          <w:szCs w:val="22"/>
        </w:rPr>
        <w:t> </w:t>
      </w:r>
      <w:r w:rsidR="00CF39A7" w:rsidRPr="004F6176">
        <w:rPr>
          <w:sz w:val="22"/>
          <w:szCs w:val="22"/>
        </w:rPr>
        <w:t xml:space="preserve">spojitém kolektoru kvartérních sedimentů a svrchní </w:t>
      </w:r>
      <w:r w:rsidR="000977FB" w:rsidRPr="004F6176">
        <w:rPr>
          <w:sz w:val="22"/>
          <w:szCs w:val="22"/>
        </w:rPr>
        <w:t xml:space="preserve">rozpukané </w:t>
      </w:r>
      <w:r w:rsidR="00CF39A7" w:rsidRPr="004F6176">
        <w:rPr>
          <w:sz w:val="22"/>
          <w:szCs w:val="22"/>
        </w:rPr>
        <w:t xml:space="preserve">zóny </w:t>
      </w:r>
      <w:r w:rsidR="00A23208" w:rsidRPr="004F6176">
        <w:rPr>
          <w:sz w:val="22"/>
          <w:szCs w:val="22"/>
        </w:rPr>
        <w:t xml:space="preserve">podložních </w:t>
      </w:r>
      <w:r w:rsidR="006A0B7C" w:rsidRPr="004F6176">
        <w:rPr>
          <w:sz w:val="22"/>
          <w:szCs w:val="22"/>
        </w:rPr>
        <w:t>slínovců</w:t>
      </w:r>
      <w:r w:rsidR="00005652" w:rsidRPr="004F6176">
        <w:rPr>
          <w:sz w:val="22"/>
          <w:szCs w:val="22"/>
        </w:rPr>
        <w:t>.</w:t>
      </w:r>
    </w:p>
    <w:p w:rsidR="00E92110" w:rsidRPr="004F6176" w:rsidRDefault="00E92110" w:rsidP="008051E5">
      <w:pPr>
        <w:pStyle w:val="Zkladntextodsazen"/>
        <w:rPr>
          <w:sz w:val="22"/>
          <w:szCs w:val="22"/>
        </w:rPr>
      </w:pPr>
    </w:p>
    <w:p w:rsidR="00917AB6" w:rsidRPr="004F6176" w:rsidRDefault="00917AB6" w:rsidP="00416FBC">
      <w:pPr>
        <w:pStyle w:val="Zkladntextodsazen"/>
        <w:spacing w:after="120"/>
        <w:ind w:firstLine="0"/>
        <w:jc w:val="left"/>
        <w:rPr>
          <w:i/>
          <w:iCs/>
          <w:sz w:val="20"/>
          <w:u w:val="single"/>
        </w:rPr>
      </w:pPr>
      <w:r w:rsidRPr="004F6176">
        <w:rPr>
          <w:i/>
          <w:iCs/>
          <w:sz w:val="20"/>
          <w:u w:val="single"/>
        </w:rPr>
        <w:t xml:space="preserve">Tab. č. </w:t>
      </w:r>
      <w:r w:rsidR="00DB4167" w:rsidRPr="004F6176">
        <w:rPr>
          <w:i/>
          <w:iCs/>
          <w:sz w:val="20"/>
          <w:u w:val="single"/>
        </w:rPr>
        <w:t>5</w:t>
      </w:r>
      <w:r w:rsidRPr="004F6176">
        <w:rPr>
          <w:i/>
          <w:iCs/>
          <w:sz w:val="20"/>
          <w:u w:val="single"/>
        </w:rPr>
        <w:t>:</w:t>
      </w:r>
      <w:r w:rsidR="00416FBC" w:rsidRPr="004F6176">
        <w:rPr>
          <w:i/>
          <w:iCs/>
          <w:sz w:val="20"/>
          <w:u w:val="single"/>
        </w:rPr>
        <w:tab/>
      </w:r>
      <w:r w:rsidRPr="004F6176">
        <w:rPr>
          <w:i/>
          <w:iCs/>
          <w:sz w:val="20"/>
          <w:u w:val="single"/>
        </w:rPr>
        <w:t xml:space="preserve">Průměrná čerpaná množství </w:t>
      </w:r>
      <w:r w:rsidR="005E1C17" w:rsidRPr="004F6176">
        <w:rPr>
          <w:i/>
          <w:iCs/>
          <w:sz w:val="20"/>
          <w:u w:val="single"/>
        </w:rPr>
        <w:t>za</w:t>
      </w:r>
      <w:r w:rsidR="00520BFE" w:rsidRPr="004F6176">
        <w:rPr>
          <w:i/>
          <w:iCs/>
          <w:sz w:val="20"/>
          <w:u w:val="single"/>
        </w:rPr>
        <w:t xml:space="preserve"> </w:t>
      </w:r>
      <w:r w:rsidR="005E1C17" w:rsidRPr="004F6176">
        <w:rPr>
          <w:i/>
          <w:iCs/>
          <w:sz w:val="20"/>
          <w:u w:val="single"/>
        </w:rPr>
        <w:t xml:space="preserve"> rok</w:t>
      </w:r>
      <w:r w:rsidRPr="004F6176">
        <w:rPr>
          <w:i/>
          <w:iCs/>
          <w:sz w:val="20"/>
          <w:u w:val="single"/>
        </w:rPr>
        <w:t xml:space="preserve"> </w:t>
      </w:r>
      <w:r w:rsidR="00E7346F" w:rsidRPr="004F6176">
        <w:rPr>
          <w:i/>
          <w:iCs/>
          <w:sz w:val="20"/>
          <w:u w:val="single"/>
        </w:rPr>
        <w:t>201</w:t>
      </w:r>
      <w:r w:rsidR="007B5073" w:rsidRPr="004F6176">
        <w:rPr>
          <w:i/>
          <w:iCs/>
          <w:sz w:val="20"/>
          <w:u w:val="single"/>
        </w:rPr>
        <w:t>6</w:t>
      </w:r>
    </w:p>
    <w:tbl>
      <w:tblPr>
        <w:tblW w:w="351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0"/>
        <w:gridCol w:w="1698"/>
      </w:tblGrid>
      <w:tr w:rsidR="00E92110" w:rsidRPr="004F6176" w:rsidTr="00E92110">
        <w:trPr>
          <w:trHeight w:val="315"/>
          <w:tblHeader/>
          <w:jc w:val="center"/>
        </w:trPr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E92110" w:rsidRPr="004F6176" w:rsidRDefault="00E92110" w:rsidP="00E921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176">
              <w:rPr>
                <w:b/>
                <w:bCs/>
                <w:color w:val="000000"/>
                <w:sz w:val="20"/>
                <w:szCs w:val="20"/>
              </w:rPr>
              <w:t>Objekt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:rsidR="00E92110" w:rsidRPr="004F6176" w:rsidRDefault="00E92110" w:rsidP="00E921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176">
              <w:rPr>
                <w:b/>
                <w:bCs/>
                <w:color w:val="000000"/>
                <w:sz w:val="20"/>
                <w:szCs w:val="20"/>
              </w:rPr>
              <w:t>Čerpání v l/s</w:t>
            </w:r>
          </w:p>
        </w:tc>
      </w:tr>
      <w:tr w:rsidR="00E92110" w:rsidRPr="004F6176" w:rsidTr="00E92110">
        <w:trPr>
          <w:trHeight w:hRule="exact" w:val="255"/>
          <w:jc w:val="center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E92110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TJ-1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E92110" w:rsidP="0094393F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0,</w:t>
            </w:r>
            <w:r w:rsidR="0094393F" w:rsidRPr="004F6176">
              <w:rPr>
                <w:color w:val="000000"/>
                <w:sz w:val="20"/>
                <w:szCs w:val="20"/>
              </w:rPr>
              <w:t>1</w:t>
            </w:r>
            <w:r w:rsidR="005E1C17" w:rsidRPr="004F6176">
              <w:rPr>
                <w:color w:val="000000"/>
                <w:sz w:val="20"/>
                <w:szCs w:val="20"/>
              </w:rPr>
              <w:t>4</w:t>
            </w:r>
          </w:p>
        </w:tc>
      </w:tr>
      <w:tr w:rsidR="00E92110" w:rsidRPr="004F6176" w:rsidTr="00E92110">
        <w:trPr>
          <w:trHeight w:hRule="exact" w:val="255"/>
          <w:jc w:val="center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E92110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TJ-2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5E1C17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0,35</w:t>
            </w:r>
          </w:p>
        </w:tc>
      </w:tr>
      <w:tr w:rsidR="00E92110" w:rsidRPr="004F6176" w:rsidTr="00E92110">
        <w:trPr>
          <w:trHeight w:hRule="exact" w:val="255"/>
          <w:jc w:val="center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E92110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TJ-3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03622F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0,</w:t>
            </w:r>
            <w:r w:rsidR="005E1C17" w:rsidRPr="004F6176">
              <w:rPr>
                <w:color w:val="000000"/>
                <w:sz w:val="20"/>
                <w:szCs w:val="20"/>
              </w:rPr>
              <w:t>6</w:t>
            </w:r>
            <w:r w:rsidRPr="004F6176">
              <w:rPr>
                <w:color w:val="000000"/>
                <w:sz w:val="20"/>
                <w:szCs w:val="20"/>
              </w:rPr>
              <w:t>8</w:t>
            </w:r>
          </w:p>
        </w:tc>
      </w:tr>
      <w:tr w:rsidR="00E92110" w:rsidRPr="004F6176" w:rsidTr="00E92110">
        <w:trPr>
          <w:trHeight w:hRule="exact" w:val="255"/>
          <w:jc w:val="center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E92110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TJ-4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5E1C17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0,09</w:t>
            </w:r>
          </w:p>
        </w:tc>
      </w:tr>
      <w:tr w:rsidR="00E92110" w:rsidRPr="004F6176" w:rsidTr="00E92110">
        <w:trPr>
          <w:trHeight w:hRule="exact" w:val="255"/>
          <w:jc w:val="center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E92110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TJ-5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03622F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0,1</w:t>
            </w:r>
            <w:r w:rsidR="00092819" w:rsidRPr="004F6176">
              <w:rPr>
                <w:color w:val="000000"/>
                <w:sz w:val="20"/>
                <w:szCs w:val="20"/>
              </w:rPr>
              <w:t>3</w:t>
            </w:r>
          </w:p>
        </w:tc>
      </w:tr>
      <w:tr w:rsidR="00E92110" w:rsidRPr="004F6176" w:rsidTr="00E92110">
        <w:trPr>
          <w:trHeight w:hRule="exact" w:val="255"/>
          <w:jc w:val="center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E92110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TJ-6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03622F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0,0</w:t>
            </w:r>
            <w:r w:rsidR="00092819" w:rsidRPr="004F6176">
              <w:rPr>
                <w:color w:val="000000"/>
                <w:sz w:val="20"/>
                <w:szCs w:val="20"/>
              </w:rPr>
              <w:t>7</w:t>
            </w:r>
          </w:p>
        </w:tc>
      </w:tr>
      <w:tr w:rsidR="00E92110" w:rsidRPr="004F6176" w:rsidTr="00E92110">
        <w:trPr>
          <w:trHeight w:hRule="exact" w:val="255"/>
          <w:jc w:val="center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E92110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TJ-7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E92110" w:rsidP="0094393F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0,0</w:t>
            </w:r>
            <w:r w:rsidR="0003622F" w:rsidRPr="004F6176">
              <w:rPr>
                <w:color w:val="000000"/>
                <w:sz w:val="20"/>
                <w:szCs w:val="20"/>
              </w:rPr>
              <w:t>5</w:t>
            </w:r>
          </w:p>
        </w:tc>
      </w:tr>
      <w:tr w:rsidR="00E92110" w:rsidRPr="004F6176" w:rsidTr="00E92110">
        <w:trPr>
          <w:trHeight w:hRule="exact" w:val="255"/>
          <w:jc w:val="center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E92110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TJ-10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03622F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0,</w:t>
            </w:r>
            <w:r w:rsidR="00092819" w:rsidRPr="004F6176">
              <w:rPr>
                <w:color w:val="000000"/>
                <w:sz w:val="20"/>
                <w:szCs w:val="20"/>
              </w:rPr>
              <w:t>16</w:t>
            </w:r>
          </w:p>
        </w:tc>
      </w:tr>
      <w:tr w:rsidR="00E92110" w:rsidRPr="004F6176" w:rsidTr="00E92110">
        <w:trPr>
          <w:trHeight w:hRule="exact" w:val="255"/>
          <w:jc w:val="center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E92110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TJ-11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94393F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0,0</w:t>
            </w:r>
            <w:r w:rsidR="00092819" w:rsidRPr="004F6176">
              <w:rPr>
                <w:color w:val="000000"/>
                <w:sz w:val="20"/>
                <w:szCs w:val="20"/>
              </w:rPr>
              <w:t>4</w:t>
            </w:r>
          </w:p>
        </w:tc>
      </w:tr>
      <w:tr w:rsidR="00E92110" w:rsidRPr="004F6176" w:rsidTr="00E92110">
        <w:trPr>
          <w:trHeight w:hRule="exact" w:val="255"/>
          <w:jc w:val="center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E92110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TJ-12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94393F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0,0</w:t>
            </w:r>
            <w:r w:rsidR="00092819" w:rsidRPr="004F6176">
              <w:rPr>
                <w:color w:val="000000"/>
                <w:sz w:val="20"/>
                <w:szCs w:val="20"/>
              </w:rPr>
              <w:t>6</w:t>
            </w:r>
          </w:p>
        </w:tc>
      </w:tr>
      <w:tr w:rsidR="00E92110" w:rsidRPr="004F6176" w:rsidTr="00E92110">
        <w:trPr>
          <w:trHeight w:hRule="exact" w:val="255"/>
          <w:jc w:val="center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E92110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TJ-13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092819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0,11</w:t>
            </w:r>
          </w:p>
        </w:tc>
      </w:tr>
      <w:tr w:rsidR="00E92110" w:rsidRPr="004F6176" w:rsidTr="00E92110">
        <w:trPr>
          <w:trHeight w:hRule="exact" w:val="255"/>
          <w:jc w:val="center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E92110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T-28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94393F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0,02</w:t>
            </w:r>
          </w:p>
        </w:tc>
      </w:tr>
      <w:tr w:rsidR="00E92110" w:rsidRPr="004F6176" w:rsidTr="00E92110">
        <w:trPr>
          <w:trHeight w:hRule="exact" w:val="255"/>
          <w:jc w:val="center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E92110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T-29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94393F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0,</w:t>
            </w:r>
            <w:r w:rsidR="00092819" w:rsidRPr="004F6176">
              <w:rPr>
                <w:color w:val="000000"/>
                <w:sz w:val="20"/>
                <w:szCs w:val="20"/>
              </w:rPr>
              <w:t>07</w:t>
            </w:r>
          </w:p>
        </w:tc>
      </w:tr>
      <w:tr w:rsidR="00E92110" w:rsidRPr="004F6176" w:rsidTr="00E92110">
        <w:trPr>
          <w:trHeight w:hRule="exact" w:val="255"/>
          <w:jc w:val="center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E92110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T-35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2110" w:rsidRPr="004F6176" w:rsidRDefault="0094393F" w:rsidP="00E92110">
            <w:pPr>
              <w:jc w:val="center"/>
              <w:rPr>
                <w:color w:val="000000"/>
                <w:sz w:val="20"/>
                <w:szCs w:val="20"/>
              </w:rPr>
            </w:pPr>
            <w:r w:rsidRPr="004F6176">
              <w:rPr>
                <w:color w:val="000000"/>
                <w:sz w:val="20"/>
                <w:szCs w:val="20"/>
              </w:rPr>
              <w:t>0,02</w:t>
            </w:r>
          </w:p>
        </w:tc>
      </w:tr>
      <w:tr w:rsidR="00E92110" w:rsidRPr="004F6176" w:rsidTr="00E92110">
        <w:trPr>
          <w:trHeight w:hRule="exact" w:val="255"/>
          <w:jc w:val="center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E92110" w:rsidRPr="004F6176" w:rsidRDefault="00E92110" w:rsidP="00E92110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F6176">
              <w:rPr>
                <w:b/>
                <w:color w:val="000000"/>
                <w:sz w:val="20"/>
                <w:szCs w:val="20"/>
              </w:rPr>
              <w:t>Celkem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E92110" w:rsidRPr="004F6176" w:rsidRDefault="00092819" w:rsidP="00E9211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F6176">
              <w:rPr>
                <w:b/>
                <w:bCs/>
                <w:color w:val="000000"/>
                <w:sz w:val="20"/>
                <w:szCs w:val="20"/>
              </w:rPr>
              <w:t>1,99</w:t>
            </w:r>
          </w:p>
        </w:tc>
      </w:tr>
    </w:tbl>
    <w:p w:rsidR="00E92110" w:rsidRPr="004F6176" w:rsidRDefault="00E92110" w:rsidP="001E470F">
      <w:pPr>
        <w:pStyle w:val="Zkladntextodsazen"/>
        <w:rPr>
          <w:sz w:val="22"/>
          <w:szCs w:val="22"/>
        </w:rPr>
      </w:pPr>
    </w:p>
    <w:p w:rsidR="001E470F" w:rsidRPr="004F6176" w:rsidRDefault="001E470F" w:rsidP="001E470F">
      <w:pPr>
        <w:pStyle w:val="Zkladntextodsazen"/>
        <w:rPr>
          <w:sz w:val="22"/>
          <w:szCs w:val="22"/>
        </w:rPr>
      </w:pPr>
      <w:r w:rsidRPr="004F6176">
        <w:rPr>
          <w:sz w:val="22"/>
          <w:szCs w:val="22"/>
        </w:rPr>
        <w:t xml:space="preserve">Dotace podzemní vody do modelové oblasti je simulována zejména z atmosférických srážek, dále je významná dotace z vodotečí. Třetí součást sumární dotace tvoří Dirichletova okrajová podmínka  na jihozápadě modelové oblasti. Na odtoku podzemní vody z oblasti se v největší míře podílí </w:t>
      </w:r>
      <w:r w:rsidR="00832E09" w:rsidRPr="004F6176">
        <w:rPr>
          <w:sz w:val="22"/>
          <w:szCs w:val="22"/>
        </w:rPr>
        <w:t>drenáž podzemní vody do povrchových toků</w:t>
      </w:r>
      <w:r w:rsidRPr="004F6176">
        <w:rPr>
          <w:sz w:val="22"/>
          <w:szCs w:val="22"/>
        </w:rPr>
        <w:t xml:space="preserve">, </w:t>
      </w:r>
      <w:r w:rsidR="00832E09" w:rsidRPr="004F6176">
        <w:rPr>
          <w:sz w:val="22"/>
          <w:szCs w:val="22"/>
        </w:rPr>
        <w:t xml:space="preserve">významná je </w:t>
      </w:r>
      <w:r w:rsidRPr="004F6176">
        <w:rPr>
          <w:sz w:val="22"/>
          <w:szCs w:val="22"/>
        </w:rPr>
        <w:t>dále Dirichletova podmínka konsta</w:t>
      </w:r>
      <w:r w:rsidR="009B53B6" w:rsidRPr="004F6176">
        <w:rPr>
          <w:sz w:val="22"/>
          <w:szCs w:val="22"/>
        </w:rPr>
        <w:t>n</w:t>
      </w:r>
      <w:r w:rsidRPr="004F6176">
        <w:rPr>
          <w:sz w:val="22"/>
          <w:szCs w:val="22"/>
        </w:rPr>
        <w:t>tní hladiny definovaná na severu oblasti. V</w:t>
      </w:r>
      <w:r w:rsidR="00D42118" w:rsidRPr="004F6176">
        <w:rPr>
          <w:sz w:val="22"/>
          <w:szCs w:val="22"/>
        </w:rPr>
        <w:t> </w:t>
      </w:r>
      <w:r w:rsidRPr="004F6176">
        <w:rPr>
          <w:sz w:val="22"/>
          <w:szCs w:val="22"/>
        </w:rPr>
        <w:t>modelu byly uvažovány odběry podzemní vody ze sanačních objektů řady TJ s výjimkou hydrogeologických vrtů TJ-8 a TJ-9, které vzhledem ke své konstrukci (reprezentují spodní turon) nespadají do modelové vrstvy. Čerpan</w:t>
      </w:r>
      <w:r w:rsidR="00832E09" w:rsidRPr="004F6176">
        <w:rPr>
          <w:sz w:val="22"/>
          <w:szCs w:val="22"/>
        </w:rPr>
        <w:t>á</w:t>
      </w:r>
      <w:r w:rsidRPr="004F6176">
        <w:rPr>
          <w:sz w:val="22"/>
          <w:szCs w:val="22"/>
        </w:rPr>
        <w:t xml:space="preserve"> množství (viz tabulka č. </w:t>
      </w:r>
      <w:r w:rsidR="00832E09" w:rsidRPr="004F6176">
        <w:rPr>
          <w:sz w:val="22"/>
          <w:szCs w:val="22"/>
        </w:rPr>
        <w:t>5</w:t>
      </w:r>
      <w:r w:rsidRPr="004F6176">
        <w:rPr>
          <w:sz w:val="22"/>
          <w:szCs w:val="22"/>
        </w:rPr>
        <w:t>) byl</w:t>
      </w:r>
      <w:r w:rsidR="00832E09" w:rsidRPr="004F6176">
        <w:rPr>
          <w:sz w:val="22"/>
          <w:szCs w:val="22"/>
        </w:rPr>
        <w:t>a</w:t>
      </w:r>
      <w:r w:rsidRPr="004F6176">
        <w:rPr>
          <w:sz w:val="22"/>
          <w:szCs w:val="22"/>
        </w:rPr>
        <w:t xml:space="preserve"> uvažován</w:t>
      </w:r>
      <w:r w:rsidR="00832E09" w:rsidRPr="004F6176">
        <w:rPr>
          <w:sz w:val="22"/>
          <w:szCs w:val="22"/>
        </w:rPr>
        <w:t xml:space="preserve">a na úrovni </w:t>
      </w:r>
      <w:r w:rsidRPr="004F6176">
        <w:rPr>
          <w:sz w:val="22"/>
          <w:szCs w:val="22"/>
        </w:rPr>
        <w:t>průměrn</w:t>
      </w:r>
      <w:r w:rsidR="00832E09" w:rsidRPr="004F6176">
        <w:rPr>
          <w:sz w:val="22"/>
          <w:szCs w:val="22"/>
        </w:rPr>
        <w:t xml:space="preserve">ých intenzit čerpání z jednotlivých objektů </w:t>
      </w:r>
      <w:r w:rsidR="001D122A" w:rsidRPr="004F6176">
        <w:rPr>
          <w:sz w:val="22"/>
          <w:szCs w:val="22"/>
        </w:rPr>
        <w:t xml:space="preserve">za </w:t>
      </w:r>
      <w:r w:rsidR="00DE770E" w:rsidRPr="004F6176">
        <w:rPr>
          <w:sz w:val="22"/>
          <w:szCs w:val="22"/>
        </w:rPr>
        <w:t>rok</w:t>
      </w:r>
      <w:r w:rsidRPr="004F6176">
        <w:rPr>
          <w:sz w:val="22"/>
          <w:szCs w:val="22"/>
        </w:rPr>
        <w:t xml:space="preserve"> </w:t>
      </w:r>
      <w:r w:rsidR="00E7346F" w:rsidRPr="004F6176">
        <w:rPr>
          <w:sz w:val="22"/>
          <w:szCs w:val="22"/>
        </w:rPr>
        <w:t>201</w:t>
      </w:r>
      <w:r w:rsidR="00DE770E" w:rsidRPr="004F6176">
        <w:rPr>
          <w:sz w:val="22"/>
          <w:szCs w:val="22"/>
        </w:rPr>
        <w:t>6</w:t>
      </w:r>
      <w:r w:rsidRPr="004F6176">
        <w:rPr>
          <w:sz w:val="22"/>
          <w:szCs w:val="22"/>
        </w:rPr>
        <w:t>.</w:t>
      </w:r>
    </w:p>
    <w:p w:rsidR="002F4293" w:rsidRPr="004F6176" w:rsidRDefault="00592EA9" w:rsidP="00FE0C57">
      <w:pPr>
        <w:pStyle w:val="Zkladntextodsazen"/>
        <w:rPr>
          <w:sz w:val="22"/>
          <w:szCs w:val="22"/>
        </w:rPr>
      </w:pPr>
      <w:r w:rsidRPr="004F6176">
        <w:rPr>
          <w:sz w:val="22"/>
          <w:szCs w:val="22"/>
        </w:rPr>
        <w:t>Obecný s</w:t>
      </w:r>
      <w:r w:rsidR="005D3C0B" w:rsidRPr="004F6176">
        <w:rPr>
          <w:sz w:val="22"/>
          <w:szCs w:val="22"/>
        </w:rPr>
        <w:t xml:space="preserve">měr </w:t>
      </w:r>
      <w:r w:rsidR="006F481C" w:rsidRPr="004F6176">
        <w:rPr>
          <w:sz w:val="22"/>
          <w:szCs w:val="22"/>
        </w:rPr>
        <w:t xml:space="preserve">neovlivněného </w:t>
      </w:r>
      <w:r w:rsidR="005D3C0B" w:rsidRPr="004F6176">
        <w:rPr>
          <w:sz w:val="22"/>
          <w:szCs w:val="22"/>
        </w:rPr>
        <w:t>proudění podze</w:t>
      </w:r>
      <w:r w:rsidR="006A0B7C" w:rsidRPr="004F6176">
        <w:rPr>
          <w:sz w:val="22"/>
          <w:szCs w:val="22"/>
        </w:rPr>
        <w:t xml:space="preserve">mních vod </w:t>
      </w:r>
      <w:r w:rsidR="00F055A5" w:rsidRPr="004F6176">
        <w:rPr>
          <w:sz w:val="22"/>
          <w:szCs w:val="22"/>
        </w:rPr>
        <w:t xml:space="preserve">(simulace byla provedena pro neovlivněný stav před započetím sanačního čerpání v roce 2004) </w:t>
      </w:r>
      <w:r w:rsidR="006A0B7C" w:rsidRPr="004F6176">
        <w:rPr>
          <w:sz w:val="22"/>
          <w:szCs w:val="22"/>
        </w:rPr>
        <w:t xml:space="preserve">v modelové oblasti je </w:t>
      </w:r>
      <w:r w:rsidRPr="004F6176">
        <w:rPr>
          <w:sz w:val="22"/>
          <w:szCs w:val="22"/>
        </w:rPr>
        <w:t xml:space="preserve">podle předchozích řešení matematických modelů </w:t>
      </w:r>
      <w:r w:rsidRPr="004F6176">
        <w:rPr>
          <w:sz w:val="22"/>
          <w:szCs w:val="22"/>
          <w:lang w:val="en-US"/>
        </w:rPr>
        <w:t>[</w:t>
      </w:r>
      <w:r w:rsidR="001E470F" w:rsidRPr="004F6176">
        <w:rPr>
          <w:b/>
          <w:sz w:val="22"/>
          <w:szCs w:val="22"/>
        </w:rPr>
        <w:t>1–5</w:t>
      </w:r>
      <w:r w:rsidRPr="004F6176">
        <w:rPr>
          <w:sz w:val="22"/>
          <w:szCs w:val="22"/>
          <w:lang w:val="en-US"/>
        </w:rPr>
        <w:t xml:space="preserve">] </w:t>
      </w:r>
      <w:r w:rsidR="005D3C0B" w:rsidRPr="004F6176">
        <w:rPr>
          <w:sz w:val="22"/>
          <w:szCs w:val="22"/>
        </w:rPr>
        <w:t>směrem k </w:t>
      </w:r>
      <w:r w:rsidRPr="004F6176">
        <w:rPr>
          <w:sz w:val="22"/>
          <w:szCs w:val="22"/>
        </w:rPr>
        <w:t xml:space="preserve">SSZ. </w:t>
      </w:r>
      <w:r w:rsidR="001776C2" w:rsidRPr="004F6176">
        <w:rPr>
          <w:sz w:val="22"/>
          <w:szCs w:val="22"/>
        </w:rPr>
        <w:t>Jihozápadní část modelové oblasti je drénována řekou Chrudimkou</w:t>
      </w:r>
      <w:r w:rsidR="00A065FA" w:rsidRPr="004F6176">
        <w:rPr>
          <w:sz w:val="22"/>
          <w:szCs w:val="22"/>
        </w:rPr>
        <w:t>,</w:t>
      </w:r>
      <w:r w:rsidR="001776C2" w:rsidRPr="004F6176">
        <w:rPr>
          <w:sz w:val="22"/>
          <w:szCs w:val="22"/>
        </w:rPr>
        <w:t xml:space="preserve"> a toto území vykazuje proudění podzemní vody směrem k JV–V. </w:t>
      </w:r>
      <w:r w:rsidR="006A0B7C" w:rsidRPr="004F6176">
        <w:rPr>
          <w:sz w:val="22"/>
          <w:szCs w:val="22"/>
        </w:rPr>
        <w:t>V </w:t>
      </w:r>
      <w:r w:rsidR="002F4293" w:rsidRPr="004F6176">
        <w:rPr>
          <w:sz w:val="22"/>
          <w:szCs w:val="22"/>
        </w:rPr>
        <w:t>oblasti předmětného území areálu nového závodu je proudění směrem k SSV–S. Obecný směr proudění podzemní vody je v předkládaném řešení identický s neovlivněným stavem.</w:t>
      </w:r>
      <w:r w:rsidR="006A26A3" w:rsidRPr="004F6176">
        <w:rPr>
          <w:sz w:val="22"/>
          <w:szCs w:val="22"/>
        </w:rPr>
        <w:t xml:space="preserve"> </w:t>
      </w:r>
      <w:r w:rsidR="00D070D8" w:rsidRPr="004F6176">
        <w:rPr>
          <w:sz w:val="22"/>
          <w:szCs w:val="22"/>
        </w:rPr>
        <w:t>O</w:t>
      </w:r>
      <w:r w:rsidR="006A26A3" w:rsidRPr="004F6176">
        <w:rPr>
          <w:sz w:val="22"/>
          <w:szCs w:val="22"/>
        </w:rPr>
        <w:t>vlivněný stav z</w:t>
      </w:r>
      <w:r w:rsidR="00DE770E" w:rsidRPr="004F6176">
        <w:rPr>
          <w:sz w:val="22"/>
          <w:szCs w:val="22"/>
        </w:rPr>
        <w:t> roku 2016</w:t>
      </w:r>
      <w:r w:rsidR="00D070D8" w:rsidRPr="004F6176">
        <w:rPr>
          <w:sz w:val="22"/>
          <w:szCs w:val="22"/>
        </w:rPr>
        <w:t>, podobně jako předchozí modelové řešení za </w:t>
      </w:r>
      <w:r w:rsidR="0006608B" w:rsidRPr="004F6176">
        <w:rPr>
          <w:sz w:val="22"/>
          <w:szCs w:val="22"/>
        </w:rPr>
        <w:t>období 2010–</w:t>
      </w:r>
      <w:r w:rsidR="00D070D8" w:rsidRPr="004F6176">
        <w:rPr>
          <w:sz w:val="22"/>
          <w:szCs w:val="22"/>
        </w:rPr>
        <w:t>201</w:t>
      </w:r>
      <w:r w:rsidR="00DE770E" w:rsidRPr="004F6176">
        <w:rPr>
          <w:sz w:val="22"/>
          <w:szCs w:val="22"/>
        </w:rPr>
        <w:t>5</w:t>
      </w:r>
      <w:r w:rsidR="00D070D8" w:rsidRPr="004F6176">
        <w:rPr>
          <w:sz w:val="22"/>
          <w:szCs w:val="22"/>
        </w:rPr>
        <w:t>,</w:t>
      </w:r>
      <w:r w:rsidR="006A26A3" w:rsidRPr="004F6176">
        <w:rPr>
          <w:sz w:val="22"/>
          <w:szCs w:val="22"/>
        </w:rPr>
        <w:t xml:space="preserve"> ukazuje na</w:t>
      </w:r>
      <w:r w:rsidR="00D070D8" w:rsidRPr="004F6176">
        <w:rPr>
          <w:sz w:val="22"/>
          <w:szCs w:val="22"/>
        </w:rPr>
        <w:t> </w:t>
      </w:r>
      <w:r w:rsidR="006A26A3" w:rsidRPr="004F6176">
        <w:rPr>
          <w:sz w:val="22"/>
          <w:szCs w:val="22"/>
        </w:rPr>
        <w:t>změnu proudového pole v oblasti nového závodu směrem k SV, resp. k oblasti sanačních vrtů řady TJ.</w:t>
      </w:r>
    </w:p>
    <w:p w:rsidR="008051E5" w:rsidRPr="004F6176" w:rsidRDefault="00FE0C57" w:rsidP="00FE0C57">
      <w:pPr>
        <w:pStyle w:val="Zkladntextodsazen"/>
        <w:rPr>
          <w:sz w:val="22"/>
          <w:szCs w:val="22"/>
        </w:rPr>
      </w:pPr>
      <w:r w:rsidRPr="004F6176">
        <w:rPr>
          <w:sz w:val="22"/>
          <w:szCs w:val="22"/>
        </w:rPr>
        <w:lastRenderedPageBreak/>
        <w:t xml:space="preserve">Nadmořské výšky hladiny podzemní vody v simulaci </w:t>
      </w:r>
      <w:r w:rsidR="00D07171" w:rsidRPr="004F6176">
        <w:rPr>
          <w:sz w:val="22"/>
          <w:szCs w:val="22"/>
        </w:rPr>
        <w:t xml:space="preserve">pro </w:t>
      </w:r>
      <w:r w:rsidR="00063FE1" w:rsidRPr="004F6176">
        <w:rPr>
          <w:sz w:val="22"/>
          <w:szCs w:val="22"/>
        </w:rPr>
        <w:t>II. čtvrtletí (duben - červen) roku</w:t>
      </w:r>
      <w:r w:rsidR="00DE770E" w:rsidRPr="004F6176">
        <w:rPr>
          <w:sz w:val="22"/>
          <w:szCs w:val="22"/>
        </w:rPr>
        <w:t xml:space="preserve"> 2016</w:t>
      </w:r>
      <w:r w:rsidR="00D07171" w:rsidRPr="004F6176">
        <w:rPr>
          <w:sz w:val="22"/>
          <w:szCs w:val="22"/>
        </w:rPr>
        <w:t xml:space="preserve"> dosahují nadmořské výšky v</w:t>
      </w:r>
      <w:r w:rsidR="00EC28CE" w:rsidRPr="004F6176">
        <w:rPr>
          <w:sz w:val="22"/>
          <w:szCs w:val="22"/>
        </w:rPr>
        <w:t> </w:t>
      </w:r>
      <w:r w:rsidR="00D07171" w:rsidRPr="004F6176">
        <w:rPr>
          <w:sz w:val="22"/>
          <w:szCs w:val="22"/>
        </w:rPr>
        <w:t xml:space="preserve">intervalu </w:t>
      </w:r>
      <w:r w:rsidRPr="004F6176">
        <w:rPr>
          <w:sz w:val="22"/>
          <w:szCs w:val="22"/>
        </w:rPr>
        <w:t>2</w:t>
      </w:r>
      <w:r w:rsidR="00D07171" w:rsidRPr="004F6176">
        <w:rPr>
          <w:sz w:val="22"/>
          <w:szCs w:val="22"/>
        </w:rPr>
        <w:t>2</w:t>
      </w:r>
      <w:r w:rsidR="00B54567" w:rsidRPr="004F6176">
        <w:rPr>
          <w:sz w:val="22"/>
          <w:szCs w:val="22"/>
        </w:rPr>
        <w:t>9</w:t>
      </w:r>
      <w:r w:rsidR="00D07171" w:rsidRPr="004F6176">
        <w:rPr>
          <w:sz w:val="22"/>
          <w:szCs w:val="22"/>
        </w:rPr>
        <w:t>–</w:t>
      </w:r>
      <w:r w:rsidRPr="004F6176">
        <w:rPr>
          <w:sz w:val="22"/>
          <w:szCs w:val="22"/>
        </w:rPr>
        <w:t>2</w:t>
      </w:r>
      <w:r w:rsidR="00B54567" w:rsidRPr="004F6176">
        <w:rPr>
          <w:sz w:val="22"/>
          <w:szCs w:val="22"/>
        </w:rPr>
        <w:t>70</w:t>
      </w:r>
      <w:r w:rsidRPr="004F6176">
        <w:rPr>
          <w:sz w:val="22"/>
          <w:szCs w:val="22"/>
        </w:rPr>
        <w:t xml:space="preserve"> m n.m.</w:t>
      </w:r>
      <w:r w:rsidR="008051E5" w:rsidRPr="004F6176">
        <w:rPr>
          <w:sz w:val="22"/>
          <w:szCs w:val="22"/>
        </w:rPr>
        <w:t xml:space="preserve"> </w:t>
      </w:r>
      <w:r w:rsidR="00A024DC" w:rsidRPr="004F6176">
        <w:rPr>
          <w:sz w:val="22"/>
          <w:szCs w:val="22"/>
        </w:rPr>
        <w:t>Kvantifikovanou b</w:t>
      </w:r>
      <w:r w:rsidR="008051E5" w:rsidRPr="004F6176">
        <w:rPr>
          <w:sz w:val="22"/>
          <w:szCs w:val="22"/>
        </w:rPr>
        <w:t>ilanc</w:t>
      </w:r>
      <w:r w:rsidR="00A024DC" w:rsidRPr="004F6176">
        <w:rPr>
          <w:sz w:val="22"/>
          <w:szCs w:val="22"/>
        </w:rPr>
        <w:t>i</w:t>
      </w:r>
      <w:r w:rsidR="008051E5" w:rsidRPr="004F6176">
        <w:rPr>
          <w:sz w:val="22"/>
          <w:szCs w:val="22"/>
        </w:rPr>
        <w:t xml:space="preserve"> vstupů a výstupů pro modelovo</w:t>
      </w:r>
      <w:r w:rsidR="00170E96" w:rsidRPr="004F6176">
        <w:rPr>
          <w:sz w:val="22"/>
          <w:szCs w:val="22"/>
        </w:rPr>
        <w:t xml:space="preserve">u oblast </w:t>
      </w:r>
      <w:r w:rsidR="00A024DC" w:rsidRPr="004F6176">
        <w:rPr>
          <w:sz w:val="22"/>
          <w:szCs w:val="22"/>
        </w:rPr>
        <w:t>popisuj</w:t>
      </w:r>
      <w:r w:rsidR="00BA7119" w:rsidRPr="004F6176">
        <w:rPr>
          <w:sz w:val="22"/>
          <w:szCs w:val="22"/>
        </w:rPr>
        <w:t>e</w:t>
      </w:r>
      <w:r w:rsidR="00A024DC" w:rsidRPr="004F6176">
        <w:rPr>
          <w:sz w:val="22"/>
          <w:szCs w:val="22"/>
        </w:rPr>
        <w:t xml:space="preserve"> tabulka č. </w:t>
      </w:r>
      <w:r w:rsidR="00E92110" w:rsidRPr="004F6176">
        <w:rPr>
          <w:sz w:val="22"/>
          <w:szCs w:val="22"/>
        </w:rPr>
        <w:t>6</w:t>
      </w:r>
      <w:r w:rsidR="008051E5" w:rsidRPr="004F6176">
        <w:rPr>
          <w:sz w:val="22"/>
          <w:szCs w:val="22"/>
        </w:rPr>
        <w:t>.</w:t>
      </w:r>
      <w:r w:rsidR="00373E0D" w:rsidRPr="004F6176">
        <w:rPr>
          <w:sz w:val="22"/>
          <w:szCs w:val="22"/>
        </w:rPr>
        <w:t xml:space="preserve"> </w:t>
      </w:r>
    </w:p>
    <w:p w:rsidR="00122E1C" w:rsidRPr="004F6176" w:rsidRDefault="00122E1C" w:rsidP="00FE0C57">
      <w:pPr>
        <w:pStyle w:val="Zkladntextodsazen"/>
        <w:rPr>
          <w:sz w:val="22"/>
          <w:szCs w:val="22"/>
        </w:rPr>
      </w:pPr>
    </w:p>
    <w:p w:rsidR="000E3779" w:rsidRPr="008921D1" w:rsidRDefault="00FE1EAD" w:rsidP="00E92110">
      <w:pPr>
        <w:pStyle w:val="Zkladntextodsazen"/>
        <w:ind w:firstLine="0"/>
        <w:jc w:val="left"/>
        <w:rPr>
          <w:i/>
          <w:iCs/>
          <w:sz w:val="20"/>
          <w:u w:val="single"/>
        </w:rPr>
      </w:pPr>
      <w:r w:rsidRPr="004F6176">
        <w:rPr>
          <w:i/>
          <w:iCs/>
          <w:sz w:val="20"/>
          <w:u w:val="single"/>
        </w:rPr>
        <w:t xml:space="preserve">Tab. č. </w:t>
      </w:r>
      <w:r w:rsidR="00E92110" w:rsidRPr="004F6176">
        <w:rPr>
          <w:i/>
          <w:iCs/>
          <w:sz w:val="20"/>
          <w:u w:val="single"/>
        </w:rPr>
        <w:t>6</w:t>
      </w:r>
      <w:r w:rsidRPr="004F6176">
        <w:rPr>
          <w:i/>
          <w:iCs/>
          <w:sz w:val="20"/>
          <w:u w:val="single"/>
        </w:rPr>
        <w:t>:</w:t>
      </w:r>
      <w:r w:rsidR="00BA7119" w:rsidRPr="004F6176">
        <w:rPr>
          <w:i/>
          <w:iCs/>
          <w:sz w:val="20"/>
          <w:u w:val="single"/>
        </w:rPr>
        <w:tab/>
      </w:r>
      <w:r w:rsidRPr="004F6176">
        <w:rPr>
          <w:i/>
          <w:iCs/>
          <w:sz w:val="20"/>
          <w:u w:val="single"/>
        </w:rPr>
        <w:t xml:space="preserve">Bilance vstupů a výstupů vody v modelové oblasti </w:t>
      </w:r>
      <w:r w:rsidR="00EC139D" w:rsidRPr="004F6176">
        <w:rPr>
          <w:i/>
          <w:iCs/>
          <w:sz w:val="20"/>
          <w:u w:val="single"/>
        </w:rPr>
        <w:t xml:space="preserve">– </w:t>
      </w:r>
      <w:r w:rsidR="0007793A" w:rsidRPr="004F6176">
        <w:rPr>
          <w:i/>
          <w:iCs/>
          <w:sz w:val="20"/>
          <w:u w:val="single"/>
        </w:rPr>
        <w:t>ne</w:t>
      </w:r>
      <w:r w:rsidR="00EC139D" w:rsidRPr="004F6176">
        <w:rPr>
          <w:i/>
          <w:iCs/>
          <w:sz w:val="20"/>
          <w:u w:val="single"/>
        </w:rPr>
        <w:t>stacionární ovlivněné proudění</w:t>
      </w:r>
    </w:p>
    <w:tbl>
      <w:tblPr>
        <w:tblpPr w:leftFromText="141" w:rightFromText="141" w:vertAnchor="text" w:horzAnchor="margin" w:tblpY="160"/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2476"/>
        <w:gridCol w:w="2476"/>
      </w:tblGrid>
      <w:tr w:rsidR="000E3779" w:rsidRPr="008921D1" w:rsidTr="002C10D2">
        <w:trPr>
          <w:trHeight w:val="170"/>
          <w:tblHeader/>
        </w:trPr>
        <w:tc>
          <w:tcPr>
            <w:tcW w:w="2400" w:type="pct"/>
            <w:shd w:val="pct15" w:color="auto" w:fill="auto"/>
            <w:noWrap/>
            <w:vAlign w:val="bottom"/>
          </w:tcPr>
          <w:p w:rsidR="000E3779" w:rsidRPr="008921D1" w:rsidRDefault="000E3779" w:rsidP="002C10D2">
            <w:pPr>
              <w:keepLines/>
              <w:jc w:val="center"/>
              <w:rPr>
                <w:b/>
                <w:caps/>
                <w:sz w:val="20"/>
                <w:szCs w:val="20"/>
              </w:rPr>
            </w:pPr>
            <w:r w:rsidRPr="008921D1">
              <w:rPr>
                <w:b/>
                <w:caps/>
                <w:sz w:val="20"/>
                <w:szCs w:val="20"/>
              </w:rPr>
              <w:t>vstupy</w:t>
            </w:r>
          </w:p>
        </w:tc>
        <w:tc>
          <w:tcPr>
            <w:tcW w:w="1300" w:type="pct"/>
            <w:shd w:val="pct15" w:color="auto" w:fill="auto"/>
            <w:noWrap/>
            <w:vAlign w:val="bottom"/>
          </w:tcPr>
          <w:p w:rsidR="000E3779" w:rsidRPr="008921D1" w:rsidRDefault="000E3779" w:rsidP="002C10D2">
            <w:pPr>
              <w:keepLines/>
              <w:jc w:val="center"/>
              <w:rPr>
                <w:bCs/>
                <w:sz w:val="20"/>
                <w:szCs w:val="20"/>
                <w:vertAlign w:val="superscript"/>
              </w:rPr>
            </w:pPr>
            <w:r w:rsidRPr="008921D1">
              <w:rPr>
                <w:bCs/>
                <w:sz w:val="20"/>
                <w:szCs w:val="20"/>
              </w:rPr>
              <w:t>m</w:t>
            </w:r>
            <w:r w:rsidRPr="008921D1">
              <w:rPr>
                <w:bCs/>
                <w:sz w:val="20"/>
                <w:szCs w:val="20"/>
                <w:vertAlign w:val="superscript"/>
              </w:rPr>
              <w:t>3</w:t>
            </w:r>
            <w:r w:rsidRPr="008921D1">
              <w:rPr>
                <w:bCs/>
                <w:sz w:val="20"/>
                <w:szCs w:val="20"/>
              </w:rPr>
              <w:t>.den</w:t>
            </w:r>
            <w:r w:rsidR="004C56FB" w:rsidRPr="008921D1">
              <w:rPr>
                <w:bCs/>
                <w:sz w:val="20"/>
                <w:szCs w:val="20"/>
                <w:vertAlign w:val="superscript"/>
              </w:rPr>
              <w:t>−</w:t>
            </w:r>
            <w:r w:rsidRPr="008921D1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00" w:type="pct"/>
            <w:shd w:val="pct15" w:color="auto" w:fill="auto"/>
            <w:noWrap/>
            <w:vAlign w:val="bottom"/>
          </w:tcPr>
          <w:p w:rsidR="000E3779" w:rsidRPr="008921D1" w:rsidRDefault="000E3779" w:rsidP="002C10D2">
            <w:pPr>
              <w:keepLines/>
              <w:jc w:val="center"/>
              <w:rPr>
                <w:bCs/>
                <w:sz w:val="20"/>
                <w:szCs w:val="20"/>
                <w:vertAlign w:val="superscript"/>
              </w:rPr>
            </w:pPr>
            <w:r w:rsidRPr="008921D1">
              <w:rPr>
                <w:bCs/>
                <w:sz w:val="20"/>
                <w:szCs w:val="20"/>
              </w:rPr>
              <w:t>l.s</w:t>
            </w:r>
            <w:r w:rsidR="004C56FB" w:rsidRPr="008921D1">
              <w:rPr>
                <w:bCs/>
                <w:sz w:val="20"/>
                <w:szCs w:val="20"/>
                <w:vertAlign w:val="superscript"/>
              </w:rPr>
              <w:t>−</w:t>
            </w:r>
            <w:r w:rsidRPr="008921D1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207A4F" w:rsidRPr="008921D1" w:rsidTr="002C10D2">
        <w:trPr>
          <w:trHeight w:val="170"/>
          <w:tblHeader/>
        </w:trPr>
        <w:tc>
          <w:tcPr>
            <w:tcW w:w="2400" w:type="pct"/>
            <w:noWrap/>
            <w:vAlign w:val="bottom"/>
          </w:tcPr>
          <w:p w:rsidR="00207A4F" w:rsidRPr="008921D1" w:rsidRDefault="00207A4F" w:rsidP="002C10D2">
            <w:pPr>
              <w:keepLines/>
              <w:rPr>
                <w:bCs/>
                <w:sz w:val="20"/>
                <w:szCs w:val="20"/>
              </w:rPr>
            </w:pPr>
            <w:r w:rsidRPr="008921D1">
              <w:rPr>
                <w:bCs/>
                <w:sz w:val="20"/>
                <w:szCs w:val="20"/>
              </w:rPr>
              <w:t>infiltrace z atmosférických srážek</w:t>
            </w:r>
          </w:p>
        </w:tc>
        <w:tc>
          <w:tcPr>
            <w:tcW w:w="1300" w:type="pct"/>
            <w:noWrap/>
            <w:vAlign w:val="bottom"/>
          </w:tcPr>
          <w:p w:rsidR="00207A4F" w:rsidRPr="008921D1" w:rsidRDefault="005B461D" w:rsidP="00115383">
            <w:pPr>
              <w:keepLines/>
              <w:jc w:val="center"/>
              <w:rPr>
                <w:sz w:val="20"/>
                <w:szCs w:val="20"/>
              </w:rPr>
            </w:pPr>
            <w:r w:rsidRPr="008921D1">
              <w:rPr>
                <w:sz w:val="20"/>
                <w:szCs w:val="20"/>
              </w:rPr>
              <w:t>5</w:t>
            </w:r>
            <w:r w:rsidR="0007793A" w:rsidRPr="008921D1">
              <w:rPr>
                <w:sz w:val="20"/>
                <w:szCs w:val="20"/>
              </w:rPr>
              <w:t xml:space="preserve"> </w:t>
            </w:r>
            <w:r w:rsidRPr="008921D1">
              <w:rPr>
                <w:sz w:val="20"/>
                <w:szCs w:val="20"/>
              </w:rPr>
              <w:t>512</w:t>
            </w:r>
          </w:p>
        </w:tc>
        <w:tc>
          <w:tcPr>
            <w:tcW w:w="1300" w:type="pct"/>
            <w:noWrap/>
            <w:vAlign w:val="bottom"/>
          </w:tcPr>
          <w:p w:rsidR="00207A4F" w:rsidRPr="008921D1" w:rsidRDefault="0007793A" w:rsidP="00BA7119">
            <w:pPr>
              <w:keepLines/>
              <w:jc w:val="center"/>
              <w:rPr>
                <w:sz w:val="20"/>
                <w:szCs w:val="20"/>
              </w:rPr>
            </w:pPr>
            <w:r w:rsidRPr="008921D1">
              <w:rPr>
                <w:sz w:val="20"/>
                <w:szCs w:val="20"/>
              </w:rPr>
              <w:t>63,8</w:t>
            </w:r>
          </w:p>
        </w:tc>
      </w:tr>
      <w:tr w:rsidR="00207A4F" w:rsidRPr="008921D1" w:rsidTr="002C10D2">
        <w:trPr>
          <w:trHeight w:val="170"/>
          <w:tblHeader/>
        </w:trPr>
        <w:tc>
          <w:tcPr>
            <w:tcW w:w="2400" w:type="pct"/>
            <w:noWrap/>
            <w:vAlign w:val="bottom"/>
          </w:tcPr>
          <w:p w:rsidR="00207A4F" w:rsidRPr="008921D1" w:rsidRDefault="00207A4F" w:rsidP="002C10D2">
            <w:pPr>
              <w:keepLines/>
              <w:rPr>
                <w:bCs/>
                <w:sz w:val="20"/>
                <w:szCs w:val="20"/>
              </w:rPr>
            </w:pPr>
            <w:r w:rsidRPr="008921D1">
              <w:rPr>
                <w:bCs/>
                <w:sz w:val="20"/>
                <w:szCs w:val="20"/>
              </w:rPr>
              <w:t>dotace z vodotečí</w:t>
            </w:r>
          </w:p>
        </w:tc>
        <w:tc>
          <w:tcPr>
            <w:tcW w:w="1300" w:type="pct"/>
            <w:noWrap/>
            <w:vAlign w:val="bottom"/>
          </w:tcPr>
          <w:p w:rsidR="00207A4F" w:rsidRPr="008921D1" w:rsidRDefault="00DD2CDA" w:rsidP="00115383">
            <w:pPr>
              <w:keepLines/>
              <w:jc w:val="center"/>
              <w:rPr>
                <w:sz w:val="20"/>
                <w:szCs w:val="20"/>
              </w:rPr>
            </w:pPr>
            <w:r w:rsidRPr="008921D1">
              <w:rPr>
                <w:sz w:val="20"/>
                <w:szCs w:val="20"/>
              </w:rPr>
              <w:t xml:space="preserve">2 </w:t>
            </w:r>
            <w:r w:rsidR="005B461D" w:rsidRPr="008921D1">
              <w:rPr>
                <w:sz w:val="20"/>
                <w:szCs w:val="20"/>
              </w:rPr>
              <w:t>779</w:t>
            </w:r>
          </w:p>
        </w:tc>
        <w:tc>
          <w:tcPr>
            <w:tcW w:w="1300" w:type="pct"/>
            <w:noWrap/>
            <w:vAlign w:val="bottom"/>
          </w:tcPr>
          <w:p w:rsidR="00207A4F" w:rsidRPr="008921D1" w:rsidRDefault="0007793A" w:rsidP="002A1A44">
            <w:pPr>
              <w:keepLines/>
              <w:jc w:val="center"/>
              <w:rPr>
                <w:sz w:val="20"/>
                <w:szCs w:val="20"/>
              </w:rPr>
            </w:pPr>
            <w:r w:rsidRPr="008921D1">
              <w:rPr>
                <w:sz w:val="20"/>
                <w:szCs w:val="20"/>
              </w:rPr>
              <w:t>32,</w:t>
            </w:r>
            <w:r w:rsidR="002A1A44" w:rsidRPr="008921D1">
              <w:rPr>
                <w:sz w:val="20"/>
                <w:szCs w:val="20"/>
              </w:rPr>
              <w:t>0</w:t>
            </w:r>
          </w:p>
        </w:tc>
      </w:tr>
      <w:tr w:rsidR="00207A4F" w:rsidRPr="008921D1" w:rsidTr="002C10D2">
        <w:trPr>
          <w:trHeight w:val="170"/>
          <w:tblHeader/>
        </w:trPr>
        <w:tc>
          <w:tcPr>
            <w:tcW w:w="2400" w:type="pct"/>
            <w:noWrap/>
            <w:vAlign w:val="bottom"/>
          </w:tcPr>
          <w:p w:rsidR="00207A4F" w:rsidRPr="008921D1" w:rsidRDefault="00207A4F" w:rsidP="002C10D2">
            <w:pPr>
              <w:pStyle w:val="xl29"/>
              <w:keepLines/>
              <w:spacing w:before="0" w:beforeAutospacing="0" w:after="0" w:afterAutospacing="0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21D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přítok do modelové oblasti</w:t>
            </w:r>
          </w:p>
        </w:tc>
        <w:tc>
          <w:tcPr>
            <w:tcW w:w="1300" w:type="pct"/>
            <w:noWrap/>
            <w:vAlign w:val="bottom"/>
          </w:tcPr>
          <w:p w:rsidR="00207A4F" w:rsidRPr="008921D1" w:rsidRDefault="0007793A" w:rsidP="002C10D2">
            <w:pPr>
              <w:keepLines/>
              <w:jc w:val="center"/>
              <w:rPr>
                <w:sz w:val="20"/>
                <w:szCs w:val="20"/>
              </w:rPr>
            </w:pPr>
            <w:r w:rsidRPr="008921D1">
              <w:rPr>
                <w:sz w:val="20"/>
                <w:szCs w:val="20"/>
              </w:rPr>
              <w:t>90</w:t>
            </w:r>
          </w:p>
        </w:tc>
        <w:tc>
          <w:tcPr>
            <w:tcW w:w="1300" w:type="pct"/>
            <w:noWrap/>
            <w:vAlign w:val="bottom"/>
          </w:tcPr>
          <w:p w:rsidR="00207A4F" w:rsidRPr="008921D1" w:rsidRDefault="0007793A" w:rsidP="002C10D2">
            <w:pPr>
              <w:keepLines/>
              <w:jc w:val="center"/>
              <w:rPr>
                <w:sz w:val="20"/>
                <w:szCs w:val="20"/>
              </w:rPr>
            </w:pPr>
            <w:r w:rsidRPr="008921D1">
              <w:rPr>
                <w:sz w:val="20"/>
                <w:szCs w:val="20"/>
              </w:rPr>
              <w:t>1,0</w:t>
            </w:r>
          </w:p>
        </w:tc>
      </w:tr>
      <w:tr w:rsidR="00207A4F" w:rsidRPr="008921D1" w:rsidTr="002C10D2">
        <w:trPr>
          <w:trHeight w:val="170"/>
          <w:tblHeader/>
        </w:trPr>
        <w:tc>
          <w:tcPr>
            <w:tcW w:w="2400" w:type="pct"/>
            <w:noWrap/>
            <w:vAlign w:val="bottom"/>
          </w:tcPr>
          <w:p w:rsidR="00207A4F" w:rsidRPr="008921D1" w:rsidRDefault="00207A4F" w:rsidP="002C10D2">
            <w:pPr>
              <w:keepLines/>
              <w:rPr>
                <w:b/>
                <w:sz w:val="20"/>
                <w:szCs w:val="20"/>
              </w:rPr>
            </w:pPr>
            <w:r w:rsidRPr="008921D1">
              <w:rPr>
                <w:b/>
                <w:sz w:val="20"/>
                <w:szCs w:val="20"/>
              </w:rPr>
              <w:t>Celkem</w:t>
            </w:r>
          </w:p>
        </w:tc>
        <w:tc>
          <w:tcPr>
            <w:tcW w:w="1300" w:type="pct"/>
            <w:noWrap/>
            <w:vAlign w:val="center"/>
          </w:tcPr>
          <w:p w:rsidR="00207A4F" w:rsidRPr="008921D1" w:rsidRDefault="005B461D" w:rsidP="001A382A">
            <w:pPr>
              <w:keepLines/>
              <w:jc w:val="center"/>
              <w:rPr>
                <w:b/>
                <w:bCs/>
                <w:sz w:val="20"/>
                <w:szCs w:val="20"/>
              </w:rPr>
            </w:pPr>
            <w:r w:rsidRPr="008921D1">
              <w:rPr>
                <w:b/>
                <w:bCs/>
                <w:sz w:val="20"/>
                <w:szCs w:val="20"/>
              </w:rPr>
              <w:t>8381</w:t>
            </w:r>
          </w:p>
        </w:tc>
        <w:tc>
          <w:tcPr>
            <w:tcW w:w="1300" w:type="pct"/>
            <w:noWrap/>
            <w:vAlign w:val="bottom"/>
          </w:tcPr>
          <w:p w:rsidR="00207A4F" w:rsidRPr="008921D1" w:rsidRDefault="0007793A" w:rsidP="00434457">
            <w:pPr>
              <w:keepLines/>
              <w:jc w:val="center"/>
              <w:rPr>
                <w:b/>
                <w:sz w:val="20"/>
                <w:szCs w:val="20"/>
              </w:rPr>
            </w:pPr>
            <w:r w:rsidRPr="008921D1">
              <w:rPr>
                <w:b/>
                <w:sz w:val="20"/>
                <w:szCs w:val="20"/>
              </w:rPr>
              <w:t>9</w:t>
            </w:r>
            <w:r w:rsidR="00E663D1" w:rsidRPr="008921D1">
              <w:rPr>
                <w:b/>
                <w:sz w:val="20"/>
                <w:szCs w:val="20"/>
              </w:rPr>
              <w:t>7</w:t>
            </w:r>
          </w:p>
        </w:tc>
      </w:tr>
      <w:tr w:rsidR="000169C2" w:rsidRPr="008921D1" w:rsidTr="002C10D2">
        <w:trPr>
          <w:trHeight w:val="170"/>
          <w:tblHeader/>
        </w:trPr>
        <w:tc>
          <w:tcPr>
            <w:tcW w:w="2400" w:type="pct"/>
            <w:shd w:val="pct15" w:color="auto" w:fill="auto"/>
            <w:noWrap/>
            <w:vAlign w:val="bottom"/>
          </w:tcPr>
          <w:p w:rsidR="000169C2" w:rsidRPr="008921D1" w:rsidRDefault="000169C2" w:rsidP="002C10D2">
            <w:pPr>
              <w:keepLines/>
              <w:jc w:val="center"/>
              <w:rPr>
                <w:b/>
                <w:caps/>
                <w:sz w:val="20"/>
                <w:szCs w:val="20"/>
              </w:rPr>
            </w:pPr>
            <w:r w:rsidRPr="008921D1">
              <w:rPr>
                <w:b/>
                <w:caps/>
                <w:sz w:val="20"/>
                <w:szCs w:val="20"/>
              </w:rPr>
              <w:t>výstupy</w:t>
            </w:r>
          </w:p>
        </w:tc>
        <w:tc>
          <w:tcPr>
            <w:tcW w:w="1300" w:type="pct"/>
            <w:shd w:val="pct15" w:color="auto" w:fill="auto"/>
            <w:noWrap/>
            <w:vAlign w:val="bottom"/>
          </w:tcPr>
          <w:p w:rsidR="000169C2" w:rsidRPr="008921D1" w:rsidRDefault="000169C2" w:rsidP="002C10D2">
            <w:pPr>
              <w:keepLines/>
              <w:jc w:val="center"/>
              <w:rPr>
                <w:bCs/>
                <w:sz w:val="20"/>
                <w:szCs w:val="20"/>
                <w:vertAlign w:val="superscript"/>
              </w:rPr>
            </w:pPr>
            <w:r w:rsidRPr="008921D1">
              <w:rPr>
                <w:bCs/>
                <w:sz w:val="20"/>
                <w:szCs w:val="20"/>
              </w:rPr>
              <w:t>m</w:t>
            </w:r>
            <w:r w:rsidRPr="008921D1">
              <w:rPr>
                <w:bCs/>
                <w:sz w:val="20"/>
                <w:szCs w:val="20"/>
                <w:vertAlign w:val="superscript"/>
              </w:rPr>
              <w:t>3</w:t>
            </w:r>
            <w:r w:rsidRPr="008921D1">
              <w:rPr>
                <w:bCs/>
                <w:sz w:val="20"/>
                <w:szCs w:val="20"/>
              </w:rPr>
              <w:t>.den</w:t>
            </w:r>
            <w:r w:rsidR="004C56FB" w:rsidRPr="008921D1">
              <w:rPr>
                <w:bCs/>
                <w:sz w:val="20"/>
                <w:szCs w:val="20"/>
                <w:vertAlign w:val="superscript"/>
              </w:rPr>
              <w:t>−</w:t>
            </w:r>
            <w:r w:rsidRPr="008921D1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00" w:type="pct"/>
            <w:shd w:val="pct15" w:color="auto" w:fill="auto"/>
            <w:noWrap/>
            <w:vAlign w:val="center"/>
          </w:tcPr>
          <w:p w:rsidR="000169C2" w:rsidRPr="008921D1" w:rsidRDefault="000169C2" w:rsidP="002C10D2">
            <w:pPr>
              <w:keepLines/>
              <w:jc w:val="center"/>
              <w:rPr>
                <w:bCs/>
                <w:sz w:val="20"/>
                <w:szCs w:val="20"/>
                <w:vertAlign w:val="superscript"/>
              </w:rPr>
            </w:pPr>
            <w:r w:rsidRPr="008921D1">
              <w:rPr>
                <w:bCs/>
                <w:sz w:val="20"/>
                <w:szCs w:val="20"/>
              </w:rPr>
              <w:t>l.s</w:t>
            </w:r>
            <w:r w:rsidR="004C56FB" w:rsidRPr="008921D1">
              <w:rPr>
                <w:bCs/>
                <w:sz w:val="20"/>
                <w:szCs w:val="20"/>
                <w:vertAlign w:val="superscript"/>
              </w:rPr>
              <w:t>−</w:t>
            </w:r>
            <w:r w:rsidRPr="008921D1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852696" w:rsidRPr="008921D1" w:rsidTr="002C10D2">
        <w:trPr>
          <w:trHeight w:val="170"/>
          <w:tblHeader/>
        </w:trPr>
        <w:tc>
          <w:tcPr>
            <w:tcW w:w="2400" w:type="pct"/>
            <w:noWrap/>
            <w:vAlign w:val="bottom"/>
          </w:tcPr>
          <w:p w:rsidR="00852696" w:rsidRPr="008921D1" w:rsidRDefault="00852696" w:rsidP="002C10D2">
            <w:pPr>
              <w:keepLines/>
              <w:rPr>
                <w:bCs/>
                <w:sz w:val="20"/>
                <w:szCs w:val="20"/>
              </w:rPr>
            </w:pPr>
            <w:r w:rsidRPr="008921D1">
              <w:rPr>
                <w:bCs/>
                <w:sz w:val="20"/>
                <w:szCs w:val="20"/>
              </w:rPr>
              <w:t>dotace do vodotečí</w:t>
            </w:r>
          </w:p>
        </w:tc>
        <w:tc>
          <w:tcPr>
            <w:tcW w:w="1300" w:type="pct"/>
            <w:noWrap/>
            <w:vAlign w:val="bottom"/>
          </w:tcPr>
          <w:p w:rsidR="00852696" w:rsidRPr="008921D1" w:rsidRDefault="0007793A" w:rsidP="002A1A44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 w:rsidRPr="008921D1">
              <w:rPr>
                <w:sz w:val="20"/>
                <w:szCs w:val="20"/>
                <w:lang w:val="en-US"/>
              </w:rPr>
              <w:t>7 3</w:t>
            </w:r>
            <w:r w:rsidR="002A1A44" w:rsidRPr="008921D1">
              <w:rPr>
                <w:sz w:val="20"/>
                <w:szCs w:val="20"/>
                <w:lang w:val="en-US"/>
              </w:rPr>
              <w:t>5</w:t>
            </w:r>
            <w:r w:rsidR="00841127" w:rsidRPr="008921D1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300" w:type="pct"/>
            <w:noWrap/>
            <w:vAlign w:val="bottom"/>
          </w:tcPr>
          <w:p w:rsidR="00852696" w:rsidRPr="008921D1" w:rsidRDefault="0007793A" w:rsidP="002A1A44">
            <w:pPr>
              <w:keepLines/>
              <w:jc w:val="center"/>
              <w:rPr>
                <w:sz w:val="20"/>
                <w:szCs w:val="20"/>
              </w:rPr>
            </w:pPr>
            <w:r w:rsidRPr="008921D1">
              <w:rPr>
                <w:sz w:val="20"/>
                <w:szCs w:val="20"/>
              </w:rPr>
              <w:t>85,</w:t>
            </w:r>
            <w:r w:rsidR="002A1A44" w:rsidRPr="008921D1">
              <w:rPr>
                <w:sz w:val="20"/>
                <w:szCs w:val="20"/>
              </w:rPr>
              <w:t>1</w:t>
            </w:r>
          </w:p>
        </w:tc>
      </w:tr>
      <w:tr w:rsidR="00852696" w:rsidRPr="008921D1" w:rsidTr="002C10D2">
        <w:trPr>
          <w:trHeight w:val="170"/>
          <w:tblHeader/>
        </w:trPr>
        <w:tc>
          <w:tcPr>
            <w:tcW w:w="2400" w:type="pct"/>
            <w:noWrap/>
            <w:vAlign w:val="bottom"/>
          </w:tcPr>
          <w:p w:rsidR="00852696" w:rsidRPr="008921D1" w:rsidRDefault="00852696" w:rsidP="002C10D2">
            <w:pPr>
              <w:keepLines/>
              <w:rPr>
                <w:bCs/>
                <w:sz w:val="20"/>
                <w:szCs w:val="20"/>
              </w:rPr>
            </w:pPr>
            <w:r w:rsidRPr="008921D1">
              <w:rPr>
                <w:bCs/>
                <w:sz w:val="20"/>
                <w:szCs w:val="20"/>
              </w:rPr>
              <w:t>odtok přes severní hranici</w:t>
            </w:r>
          </w:p>
        </w:tc>
        <w:tc>
          <w:tcPr>
            <w:tcW w:w="1300" w:type="pct"/>
            <w:noWrap/>
            <w:vAlign w:val="bottom"/>
          </w:tcPr>
          <w:p w:rsidR="00852696" w:rsidRPr="008921D1" w:rsidRDefault="0007793A" w:rsidP="002C10D2">
            <w:pPr>
              <w:keepLines/>
              <w:jc w:val="center"/>
              <w:rPr>
                <w:sz w:val="20"/>
                <w:szCs w:val="20"/>
                <w:lang w:val="en-US"/>
              </w:rPr>
            </w:pPr>
            <w:r w:rsidRPr="008921D1">
              <w:rPr>
                <w:sz w:val="20"/>
                <w:szCs w:val="20"/>
                <w:lang w:val="en-US"/>
              </w:rPr>
              <w:t>886</w:t>
            </w:r>
          </w:p>
        </w:tc>
        <w:tc>
          <w:tcPr>
            <w:tcW w:w="1300" w:type="pct"/>
            <w:noWrap/>
            <w:vAlign w:val="bottom"/>
          </w:tcPr>
          <w:p w:rsidR="00852696" w:rsidRPr="008921D1" w:rsidRDefault="0007793A" w:rsidP="00BA7119">
            <w:pPr>
              <w:keepLines/>
              <w:jc w:val="center"/>
              <w:rPr>
                <w:sz w:val="20"/>
                <w:szCs w:val="20"/>
              </w:rPr>
            </w:pPr>
            <w:r w:rsidRPr="008921D1">
              <w:rPr>
                <w:sz w:val="20"/>
                <w:szCs w:val="20"/>
              </w:rPr>
              <w:t>10,3</w:t>
            </w:r>
          </w:p>
        </w:tc>
      </w:tr>
      <w:tr w:rsidR="00852696" w:rsidRPr="008921D1" w:rsidTr="002C10D2">
        <w:trPr>
          <w:trHeight w:val="170"/>
          <w:tblHeader/>
        </w:trPr>
        <w:tc>
          <w:tcPr>
            <w:tcW w:w="2400" w:type="pct"/>
            <w:noWrap/>
            <w:vAlign w:val="bottom"/>
          </w:tcPr>
          <w:p w:rsidR="00852696" w:rsidRPr="008921D1" w:rsidRDefault="00852696" w:rsidP="002C10D2">
            <w:pPr>
              <w:keepLines/>
              <w:rPr>
                <w:bCs/>
                <w:sz w:val="20"/>
                <w:szCs w:val="20"/>
              </w:rPr>
            </w:pPr>
            <w:r w:rsidRPr="008921D1">
              <w:rPr>
                <w:bCs/>
                <w:sz w:val="20"/>
                <w:szCs w:val="20"/>
              </w:rPr>
              <w:t>odběry sanačních vrtů</w:t>
            </w:r>
          </w:p>
        </w:tc>
        <w:tc>
          <w:tcPr>
            <w:tcW w:w="1300" w:type="pct"/>
            <w:noWrap/>
            <w:vAlign w:val="bottom"/>
          </w:tcPr>
          <w:p w:rsidR="00852696" w:rsidRPr="008921D1" w:rsidRDefault="00841127" w:rsidP="002C10D2">
            <w:pPr>
              <w:keepLines/>
              <w:jc w:val="center"/>
              <w:rPr>
                <w:sz w:val="20"/>
                <w:szCs w:val="20"/>
              </w:rPr>
            </w:pPr>
            <w:r w:rsidRPr="008921D1">
              <w:rPr>
                <w:sz w:val="20"/>
                <w:szCs w:val="20"/>
              </w:rPr>
              <w:t>143</w:t>
            </w:r>
          </w:p>
        </w:tc>
        <w:tc>
          <w:tcPr>
            <w:tcW w:w="1300" w:type="pct"/>
            <w:noWrap/>
            <w:vAlign w:val="bottom"/>
          </w:tcPr>
          <w:p w:rsidR="00852696" w:rsidRPr="008921D1" w:rsidRDefault="00E663D1" w:rsidP="002C10D2">
            <w:pPr>
              <w:keepLines/>
              <w:jc w:val="center"/>
              <w:rPr>
                <w:sz w:val="20"/>
                <w:szCs w:val="20"/>
              </w:rPr>
            </w:pPr>
            <w:r w:rsidRPr="008921D1">
              <w:rPr>
                <w:sz w:val="20"/>
                <w:szCs w:val="20"/>
              </w:rPr>
              <w:t>1</w:t>
            </w:r>
            <w:r w:rsidR="00434457" w:rsidRPr="008921D1">
              <w:rPr>
                <w:sz w:val="20"/>
                <w:szCs w:val="20"/>
              </w:rPr>
              <w:t>,</w:t>
            </w:r>
            <w:r w:rsidRPr="008921D1">
              <w:rPr>
                <w:sz w:val="20"/>
                <w:szCs w:val="20"/>
              </w:rPr>
              <w:t>66</w:t>
            </w:r>
          </w:p>
        </w:tc>
      </w:tr>
      <w:tr w:rsidR="00852696" w:rsidRPr="008921D1" w:rsidTr="002C10D2">
        <w:trPr>
          <w:trHeight w:val="170"/>
          <w:tblHeader/>
        </w:trPr>
        <w:tc>
          <w:tcPr>
            <w:tcW w:w="2400" w:type="pct"/>
            <w:noWrap/>
            <w:vAlign w:val="center"/>
          </w:tcPr>
          <w:p w:rsidR="00852696" w:rsidRPr="008921D1" w:rsidRDefault="00852696" w:rsidP="002C10D2">
            <w:pPr>
              <w:keepLines/>
              <w:rPr>
                <w:b/>
                <w:sz w:val="20"/>
                <w:szCs w:val="20"/>
              </w:rPr>
            </w:pPr>
            <w:r w:rsidRPr="008921D1">
              <w:rPr>
                <w:b/>
                <w:sz w:val="20"/>
                <w:szCs w:val="20"/>
              </w:rPr>
              <w:t>Celkem</w:t>
            </w:r>
          </w:p>
        </w:tc>
        <w:tc>
          <w:tcPr>
            <w:tcW w:w="1300" w:type="pct"/>
            <w:noWrap/>
            <w:vAlign w:val="center"/>
          </w:tcPr>
          <w:p w:rsidR="00852696" w:rsidRPr="008921D1" w:rsidRDefault="0007793A" w:rsidP="00434457">
            <w:pPr>
              <w:keepLines/>
              <w:jc w:val="center"/>
              <w:rPr>
                <w:b/>
                <w:bCs/>
                <w:sz w:val="20"/>
                <w:szCs w:val="20"/>
              </w:rPr>
            </w:pPr>
            <w:r w:rsidRPr="008921D1">
              <w:rPr>
                <w:b/>
                <w:bCs/>
                <w:sz w:val="20"/>
                <w:szCs w:val="20"/>
              </w:rPr>
              <w:t xml:space="preserve">8 </w:t>
            </w:r>
            <w:r w:rsidR="00A61C71" w:rsidRPr="008921D1">
              <w:rPr>
                <w:b/>
                <w:bCs/>
                <w:sz w:val="20"/>
                <w:szCs w:val="20"/>
              </w:rPr>
              <w:t>384</w:t>
            </w:r>
          </w:p>
        </w:tc>
        <w:tc>
          <w:tcPr>
            <w:tcW w:w="1300" w:type="pct"/>
            <w:noWrap/>
            <w:vAlign w:val="bottom"/>
          </w:tcPr>
          <w:p w:rsidR="00852696" w:rsidRPr="008921D1" w:rsidRDefault="00E663D1" w:rsidP="00DD2CDA">
            <w:pPr>
              <w:keepLines/>
              <w:jc w:val="center"/>
              <w:rPr>
                <w:b/>
                <w:sz w:val="20"/>
                <w:szCs w:val="20"/>
              </w:rPr>
            </w:pPr>
            <w:r w:rsidRPr="008921D1">
              <w:rPr>
                <w:b/>
                <w:sz w:val="20"/>
                <w:szCs w:val="20"/>
              </w:rPr>
              <w:t>97</w:t>
            </w:r>
            <w:r w:rsidR="00434457" w:rsidRPr="008921D1">
              <w:rPr>
                <w:b/>
                <w:sz w:val="20"/>
                <w:szCs w:val="20"/>
              </w:rPr>
              <w:t>,</w:t>
            </w:r>
            <w:r w:rsidRPr="008921D1">
              <w:rPr>
                <w:b/>
                <w:sz w:val="20"/>
                <w:szCs w:val="20"/>
              </w:rPr>
              <w:t>0</w:t>
            </w:r>
          </w:p>
        </w:tc>
      </w:tr>
      <w:tr w:rsidR="000169C2" w:rsidRPr="008921D1" w:rsidTr="002C10D2">
        <w:trPr>
          <w:trHeight w:val="170"/>
          <w:tblHeader/>
        </w:trPr>
        <w:tc>
          <w:tcPr>
            <w:tcW w:w="2400" w:type="pct"/>
            <w:shd w:val="pct15" w:color="auto" w:fill="auto"/>
            <w:noWrap/>
            <w:vAlign w:val="center"/>
          </w:tcPr>
          <w:p w:rsidR="000169C2" w:rsidRPr="008921D1" w:rsidRDefault="000169C2" w:rsidP="002C10D2">
            <w:pPr>
              <w:keepLines/>
              <w:jc w:val="center"/>
              <w:rPr>
                <w:b/>
                <w:iCs/>
                <w:caps/>
                <w:sz w:val="20"/>
                <w:szCs w:val="20"/>
              </w:rPr>
            </w:pPr>
            <w:r w:rsidRPr="008921D1">
              <w:rPr>
                <w:b/>
                <w:iCs/>
                <w:caps/>
                <w:sz w:val="20"/>
                <w:szCs w:val="20"/>
              </w:rPr>
              <w:t>rozdíl vstupů a výstupů</w:t>
            </w:r>
          </w:p>
        </w:tc>
        <w:tc>
          <w:tcPr>
            <w:tcW w:w="1300" w:type="pct"/>
            <w:shd w:val="pct15" w:color="auto" w:fill="auto"/>
            <w:noWrap/>
            <w:vAlign w:val="bottom"/>
          </w:tcPr>
          <w:p w:rsidR="000169C2" w:rsidRPr="008921D1" w:rsidRDefault="000169C2" w:rsidP="002C10D2">
            <w:pPr>
              <w:keepLines/>
              <w:jc w:val="center"/>
              <w:rPr>
                <w:bCs/>
                <w:sz w:val="20"/>
                <w:szCs w:val="20"/>
                <w:vertAlign w:val="superscript"/>
              </w:rPr>
            </w:pPr>
            <w:r w:rsidRPr="008921D1">
              <w:rPr>
                <w:bCs/>
                <w:sz w:val="20"/>
                <w:szCs w:val="20"/>
              </w:rPr>
              <w:t>m</w:t>
            </w:r>
            <w:r w:rsidRPr="008921D1">
              <w:rPr>
                <w:bCs/>
                <w:sz w:val="20"/>
                <w:szCs w:val="20"/>
                <w:vertAlign w:val="superscript"/>
              </w:rPr>
              <w:t>3</w:t>
            </w:r>
            <w:r w:rsidRPr="008921D1">
              <w:rPr>
                <w:bCs/>
                <w:sz w:val="20"/>
                <w:szCs w:val="20"/>
              </w:rPr>
              <w:t>.den</w:t>
            </w:r>
            <w:r w:rsidR="004C56FB" w:rsidRPr="008921D1">
              <w:rPr>
                <w:bCs/>
                <w:sz w:val="20"/>
                <w:szCs w:val="20"/>
                <w:vertAlign w:val="superscript"/>
              </w:rPr>
              <w:t>−</w:t>
            </w:r>
            <w:r w:rsidRPr="008921D1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00" w:type="pct"/>
            <w:shd w:val="pct15" w:color="auto" w:fill="auto"/>
            <w:noWrap/>
            <w:vAlign w:val="bottom"/>
          </w:tcPr>
          <w:p w:rsidR="000169C2" w:rsidRPr="008921D1" w:rsidRDefault="000169C2" w:rsidP="002C10D2">
            <w:pPr>
              <w:keepLines/>
              <w:jc w:val="center"/>
              <w:rPr>
                <w:bCs/>
                <w:sz w:val="20"/>
                <w:szCs w:val="20"/>
                <w:vertAlign w:val="superscript"/>
              </w:rPr>
            </w:pPr>
            <w:r w:rsidRPr="008921D1">
              <w:rPr>
                <w:bCs/>
                <w:sz w:val="20"/>
                <w:szCs w:val="20"/>
              </w:rPr>
              <w:t>l.s</w:t>
            </w:r>
            <w:r w:rsidR="004C56FB" w:rsidRPr="008921D1">
              <w:rPr>
                <w:bCs/>
                <w:sz w:val="20"/>
                <w:szCs w:val="20"/>
                <w:vertAlign w:val="superscript"/>
              </w:rPr>
              <w:t>−</w:t>
            </w:r>
            <w:r w:rsidRPr="008921D1">
              <w:rPr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0169C2" w:rsidRPr="009531CC" w:rsidTr="002C10D2">
        <w:trPr>
          <w:trHeight w:val="170"/>
          <w:tblHeader/>
        </w:trPr>
        <w:tc>
          <w:tcPr>
            <w:tcW w:w="2400" w:type="pct"/>
            <w:noWrap/>
            <w:vAlign w:val="center"/>
          </w:tcPr>
          <w:p w:rsidR="000169C2" w:rsidRPr="008921D1" w:rsidRDefault="000169C2" w:rsidP="002C10D2">
            <w:pPr>
              <w:keepLines/>
              <w:rPr>
                <w:iCs/>
                <w:sz w:val="20"/>
                <w:szCs w:val="20"/>
              </w:rPr>
            </w:pPr>
            <w:r w:rsidRPr="008921D1">
              <w:rPr>
                <w:b/>
                <w:sz w:val="20"/>
                <w:szCs w:val="20"/>
              </w:rPr>
              <w:t>Celkem</w:t>
            </w:r>
          </w:p>
        </w:tc>
        <w:tc>
          <w:tcPr>
            <w:tcW w:w="1300" w:type="pct"/>
            <w:noWrap/>
            <w:vAlign w:val="center"/>
          </w:tcPr>
          <w:p w:rsidR="000169C2" w:rsidRPr="008921D1" w:rsidRDefault="00434457" w:rsidP="002C10D2">
            <w:pPr>
              <w:keepLines/>
              <w:jc w:val="center"/>
              <w:rPr>
                <w:b/>
                <w:sz w:val="20"/>
                <w:szCs w:val="20"/>
              </w:rPr>
            </w:pPr>
            <w:r w:rsidRPr="008921D1">
              <w:rPr>
                <w:b/>
                <w:sz w:val="20"/>
                <w:szCs w:val="20"/>
              </w:rPr>
              <w:t>−</w:t>
            </w:r>
            <w:r w:rsidR="00A61C71" w:rsidRPr="008921D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00" w:type="pct"/>
            <w:noWrap/>
            <w:vAlign w:val="center"/>
          </w:tcPr>
          <w:p w:rsidR="000169C2" w:rsidRPr="009531CC" w:rsidRDefault="00434457" w:rsidP="00434457">
            <w:pPr>
              <w:keepLines/>
              <w:jc w:val="center"/>
              <w:rPr>
                <w:b/>
                <w:sz w:val="20"/>
                <w:szCs w:val="20"/>
              </w:rPr>
            </w:pPr>
            <w:r w:rsidRPr="008921D1">
              <w:rPr>
                <w:sz w:val="20"/>
                <w:szCs w:val="20"/>
              </w:rPr>
              <w:t>−</w:t>
            </w:r>
            <w:r w:rsidR="00E663D1" w:rsidRPr="008921D1">
              <w:rPr>
                <w:sz w:val="20"/>
                <w:szCs w:val="20"/>
              </w:rPr>
              <w:t>0</w:t>
            </w:r>
            <w:r w:rsidRPr="008921D1">
              <w:rPr>
                <w:sz w:val="20"/>
                <w:szCs w:val="20"/>
              </w:rPr>
              <w:t>,</w:t>
            </w:r>
            <w:r w:rsidR="00E663D1" w:rsidRPr="008921D1">
              <w:rPr>
                <w:sz w:val="20"/>
                <w:szCs w:val="20"/>
              </w:rPr>
              <w:t>035</w:t>
            </w:r>
          </w:p>
        </w:tc>
      </w:tr>
    </w:tbl>
    <w:p w:rsidR="00FE0C57" w:rsidRPr="009531CC" w:rsidRDefault="00FE0C57" w:rsidP="00EF7279">
      <w:bookmarkStart w:id="49" w:name="_Toc176000234"/>
      <w:bookmarkStart w:id="50" w:name="_Toc187653503"/>
    </w:p>
    <w:p w:rsidR="00105692" w:rsidRPr="00A01BAE" w:rsidRDefault="00723502" w:rsidP="001E3E21">
      <w:pPr>
        <w:pStyle w:val="Nadpis3"/>
        <w:numPr>
          <w:ilvl w:val="0"/>
          <w:numId w:val="0"/>
        </w:numPr>
      </w:pPr>
      <w:bookmarkStart w:id="51" w:name="_Toc405386078"/>
      <w:bookmarkStart w:id="52" w:name="_Toc405386157"/>
      <w:bookmarkStart w:id="53" w:name="_Toc176000236"/>
      <w:bookmarkStart w:id="54" w:name="_Toc187653504"/>
      <w:bookmarkEnd w:id="49"/>
      <w:bookmarkEnd w:id="50"/>
      <w:r>
        <w:t>5</w:t>
      </w:r>
      <w:r w:rsidR="00C32D6B" w:rsidRPr="009531CC">
        <w:t>.1.</w:t>
      </w:r>
      <w:r w:rsidR="00AA3D2C">
        <w:t>2</w:t>
      </w:r>
      <w:r w:rsidR="006620D9" w:rsidRPr="009531CC">
        <w:tab/>
      </w:r>
      <w:r w:rsidR="00105692" w:rsidRPr="00A01BAE">
        <w:t>Vývoj výšky hladin podzemní vody</w:t>
      </w:r>
      <w:bookmarkEnd w:id="51"/>
      <w:bookmarkEnd w:id="52"/>
    </w:p>
    <w:p w:rsidR="00A01BAE" w:rsidRPr="000E7DCF" w:rsidRDefault="009F61AA" w:rsidP="007503A3">
      <w:pPr>
        <w:spacing w:before="120" w:after="120"/>
        <w:ind w:firstLine="539"/>
        <w:jc w:val="both"/>
        <w:rPr>
          <w:sz w:val="22"/>
          <w:szCs w:val="22"/>
        </w:rPr>
      </w:pPr>
      <w:r w:rsidRPr="000E7DCF">
        <w:rPr>
          <w:sz w:val="22"/>
          <w:szCs w:val="22"/>
        </w:rPr>
        <w:t>Celkový průměrný úhrn srážek</w:t>
      </w:r>
      <w:r w:rsidR="007503A3" w:rsidRPr="000E7DCF">
        <w:rPr>
          <w:sz w:val="22"/>
          <w:szCs w:val="22"/>
        </w:rPr>
        <w:t xml:space="preserve"> za rok 201</w:t>
      </w:r>
      <w:r w:rsidR="00DE770E" w:rsidRPr="000E7DCF">
        <w:rPr>
          <w:sz w:val="22"/>
          <w:szCs w:val="22"/>
        </w:rPr>
        <w:t>6</w:t>
      </w:r>
      <w:r w:rsidR="007503A3" w:rsidRPr="000E7DCF">
        <w:rPr>
          <w:sz w:val="22"/>
          <w:szCs w:val="22"/>
        </w:rPr>
        <w:t xml:space="preserve"> </w:t>
      </w:r>
      <w:r w:rsidRPr="000E7DCF">
        <w:rPr>
          <w:sz w:val="22"/>
          <w:szCs w:val="22"/>
        </w:rPr>
        <w:t>pro Pardubický kraj byl</w:t>
      </w:r>
      <w:r w:rsidR="007503A3" w:rsidRPr="000E7DCF">
        <w:rPr>
          <w:sz w:val="22"/>
          <w:szCs w:val="22"/>
        </w:rPr>
        <w:t xml:space="preserve"> s hodnotou </w:t>
      </w:r>
      <w:r w:rsidR="008732D2" w:rsidRPr="000E7DCF">
        <w:rPr>
          <w:sz w:val="22"/>
          <w:szCs w:val="22"/>
        </w:rPr>
        <w:t>54</w:t>
      </w:r>
      <w:r w:rsidRPr="000E7DCF">
        <w:rPr>
          <w:sz w:val="22"/>
          <w:szCs w:val="22"/>
        </w:rPr>
        <w:t>0</w:t>
      </w:r>
      <w:r w:rsidR="007503A3" w:rsidRPr="000E7DCF">
        <w:rPr>
          <w:sz w:val="22"/>
          <w:szCs w:val="22"/>
        </w:rPr>
        <w:t xml:space="preserve"> mm (ČHMÚ) </w:t>
      </w:r>
      <w:r w:rsidRPr="000E7DCF">
        <w:rPr>
          <w:sz w:val="22"/>
          <w:szCs w:val="22"/>
        </w:rPr>
        <w:t>podprůměrný</w:t>
      </w:r>
      <w:r w:rsidR="007503A3" w:rsidRPr="000E7DCF">
        <w:rPr>
          <w:sz w:val="22"/>
          <w:szCs w:val="22"/>
        </w:rPr>
        <w:t xml:space="preserve"> (dlouhodobý srážkový normál je pro Pardubický kraj 711 mm). </w:t>
      </w:r>
      <w:r w:rsidR="00891693" w:rsidRPr="000E7DCF">
        <w:rPr>
          <w:sz w:val="22"/>
          <w:szCs w:val="22"/>
        </w:rPr>
        <w:t>Z celého roku 2016</w:t>
      </w:r>
      <w:r w:rsidR="00A01BAE" w:rsidRPr="000E7DCF">
        <w:rPr>
          <w:sz w:val="22"/>
          <w:szCs w:val="22"/>
        </w:rPr>
        <w:t xml:space="preserve"> byly srážkově nadprůměrné pouze měsíce leden, březen, srpen a listopad. Ostatní měsíce roku byly srážkově na 25 – 75 % průměrných hodnot.</w:t>
      </w:r>
    </w:p>
    <w:p w:rsidR="007503A3" w:rsidRPr="000E7DCF" w:rsidRDefault="00891693" w:rsidP="007503A3">
      <w:pPr>
        <w:spacing w:before="120" w:after="120"/>
        <w:ind w:firstLine="539"/>
        <w:jc w:val="both"/>
        <w:rPr>
          <w:sz w:val="22"/>
          <w:szCs w:val="22"/>
        </w:rPr>
      </w:pPr>
      <w:r w:rsidRPr="000E7DCF">
        <w:rPr>
          <w:sz w:val="22"/>
          <w:szCs w:val="22"/>
        </w:rPr>
        <w:t>V průběhu období II. čtvrtletí (duben – červen) roku 2016</w:t>
      </w:r>
      <w:r w:rsidR="007503A3" w:rsidRPr="000E7DCF">
        <w:rPr>
          <w:sz w:val="22"/>
          <w:szCs w:val="22"/>
        </w:rPr>
        <w:t xml:space="preserve"> vykazovala podzemní voda cenoman</w:t>
      </w:r>
      <w:r w:rsidRPr="000E7DCF">
        <w:rPr>
          <w:sz w:val="22"/>
          <w:szCs w:val="22"/>
        </w:rPr>
        <w:t>u (ART-1) tlakovou úroveň o +4</w:t>
      </w:r>
      <w:r w:rsidR="007503A3" w:rsidRPr="000E7DCF">
        <w:rPr>
          <w:sz w:val="22"/>
          <w:szCs w:val="22"/>
        </w:rPr>
        <w:t xml:space="preserve"> m vyšší než v objektu T-7. Vzhledem k  fluktuaci tlakových poměrů podzemní vody v kolektorech turonu a cenomanu doporučujeme i nadále provádět pravidelný monitoring podzemní vody obou kolektorů.</w:t>
      </w:r>
    </w:p>
    <w:p w:rsidR="004A4933" w:rsidRPr="000E7DCF" w:rsidRDefault="00A97F66" w:rsidP="004136A7">
      <w:pPr>
        <w:spacing w:before="120" w:after="120"/>
        <w:ind w:firstLine="539"/>
        <w:jc w:val="both"/>
        <w:rPr>
          <w:sz w:val="22"/>
          <w:szCs w:val="22"/>
        </w:rPr>
      </w:pPr>
      <w:r w:rsidRPr="000E7DCF">
        <w:rPr>
          <w:sz w:val="22"/>
          <w:szCs w:val="22"/>
        </w:rPr>
        <w:t xml:space="preserve">Úroveň hladiny podzemní vody v pozorovacích objektech v oblasti hydraulické bariéry v roce </w:t>
      </w:r>
      <w:r w:rsidR="00E7346F" w:rsidRPr="000E7DCF">
        <w:rPr>
          <w:sz w:val="22"/>
          <w:szCs w:val="22"/>
        </w:rPr>
        <w:t>201</w:t>
      </w:r>
      <w:r w:rsidR="002D22CE" w:rsidRPr="000E7DCF">
        <w:rPr>
          <w:sz w:val="22"/>
          <w:szCs w:val="22"/>
        </w:rPr>
        <w:t>6</w:t>
      </w:r>
      <w:r w:rsidRPr="000E7DCF">
        <w:rPr>
          <w:sz w:val="22"/>
          <w:szCs w:val="22"/>
        </w:rPr>
        <w:t xml:space="preserve"> </w:t>
      </w:r>
      <w:r w:rsidR="000656B8" w:rsidRPr="000E7DCF">
        <w:rPr>
          <w:sz w:val="22"/>
          <w:szCs w:val="22"/>
        </w:rPr>
        <w:t xml:space="preserve">vykazovala </w:t>
      </w:r>
      <w:r w:rsidR="004A4933" w:rsidRPr="000E7DCF">
        <w:rPr>
          <w:sz w:val="22"/>
          <w:szCs w:val="22"/>
        </w:rPr>
        <w:t xml:space="preserve">podobnou úroveň jako </w:t>
      </w:r>
      <w:r w:rsidR="00A01BAE" w:rsidRPr="000E7DCF">
        <w:rPr>
          <w:sz w:val="22"/>
          <w:szCs w:val="22"/>
        </w:rPr>
        <w:t>v předešlém období</w:t>
      </w:r>
      <w:r w:rsidR="004A4933" w:rsidRPr="000E7DCF">
        <w:rPr>
          <w:sz w:val="22"/>
          <w:szCs w:val="22"/>
        </w:rPr>
        <w:t xml:space="preserve">. V kontrastu k bilančně výraznému roku 2010 lze konstatovat, že úroveň hladiny podzemní vody turonského kolektoru je </w:t>
      </w:r>
      <w:r w:rsidR="007503A3" w:rsidRPr="000E7DCF">
        <w:rPr>
          <w:sz w:val="22"/>
          <w:szCs w:val="22"/>
        </w:rPr>
        <w:t>ustálená.</w:t>
      </w:r>
    </w:p>
    <w:p w:rsidR="007503A3" w:rsidRPr="007503A3" w:rsidRDefault="003B3E6C" w:rsidP="004136A7">
      <w:pPr>
        <w:spacing w:before="120" w:after="120"/>
        <w:ind w:firstLine="539"/>
        <w:jc w:val="both"/>
        <w:rPr>
          <w:sz w:val="22"/>
          <w:szCs w:val="22"/>
        </w:rPr>
      </w:pPr>
      <w:r w:rsidRPr="000E7DCF">
        <w:rPr>
          <w:sz w:val="22"/>
          <w:szCs w:val="22"/>
        </w:rPr>
        <w:t>Ú</w:t>
      </w:r>
      <w:r w:rsidR="00BD0F90" w:rsidRPr="000E7DCF">
        <w:rPr>
          <w:sz w:val="22"/>
          <w:szCs w:val="22"/>
        </w:rPr>
        <w:t>rovně hladiny podzem</w:t>
      </w:r>
      <w:r w:rsidRPr="000E7DCF">
        <w:rPr>
          <w:sz w:val="22"/>
          <w:szCs w:val="22"/>
        </w:rPr>
        <w:t>n</w:t>
      </w:r>
      <w:r w:rsidR="00BD0F90" w:rsidRPr="000E7DCF">
        <w:rPr>
          <w:sz w:val="22"/>
          <w:szCs w:val="22"/>
        </w:rPr>
        <w:t xml:space="preserve">í vody </w:t>
      </w:r>
      <w:r w:rsidR="001E7676" w:rsidRPr="000E7DCF">
        <w:rPr>
          <w:sz w:val="22"/>
          <w:szCs w:val="22"/>
        </w:rPr>
        <w:t>v roce 201</w:t>
      </w:r>
      <w:r w:rsidR="002D22CE" w:rsidRPr="000E7DCF">
        <w:rPr>
          <w:sz w:val="22"/>
          <w:szCs w:val="22"/>
        </w:rPr>
        <w:t>6</w:t>
      </w:r>
      <w:r w:rsidR="007503A3" w:rsidRPr="000E7DCF">
        <w:rPr>
          <w:sz w:val="22"/>
          <w:szCs w:val="22"/>
        </w:rPr>
        <w:t>, pozorované na hydrogeologických objektech</w:t>
      </w:r>
      <w:r w:rsidR="001E7676" w:rsidRPr="000E7DCF">
        <w:rPr>
          <w:sz w:val="22"/>
          <w:szCs w:val="22"/>
        </w:rPr>
        <w:t xml:space="preserve"> </w:t>
      </w:r>
      <w:r w:rsidRPr="000E7DCF">
        <w:rPr>
          <w:sz w:val="22"/>
          <w:szCs w:val="22"/>
        </w:rPr>
        <w:t xml:space="preserve">v </w:t>
      </w:r>
      <w:r w:rsidR="00D243D3" w:rsidRPr="000E7DCF">
        <w:rPr>
          <w:sz w:val="22"/>
          <w:szCs w:val="22"/>
        </w:rPr>
        <w:t>oblast</w:t>
      </w:r>
      <w:r w:rsidR="007503A3" w:rsidRPr="000E7DCF">
        <w:rPr>
          <w:sz w:val="22"/>
          <w:szCs w:val="22"/>
        </w:rPr>
        <w:t>i</w:t>
      </w:r>
      <w:r w:rsidR="00D243D3" w:rsidRPr="000E7DCF">
        <w:rPr>
          <w:sz w:val="22"/>
          <w:szCs w:val="22"/>
        </w:rPr>
        <w:t xml:space="preserve"> Medlešic a Dřenic</w:t>
      </w:r>
      <w:r w:rsidR="007503A3" w:rsidRPr="000E7DCF">
        <w:rPr>
          <w:sz w:val="22"/>
          <w:szCs w:val="22"/>
        </w:rPr>
        <w:t>,</w:t>
      </w:r>
      <w:r w:rsidRPr="000E7DCF">
        <w:rPr>
          <w:sz w:val="22"/>
          <w:szCs w:val="22"/>
        </w:rPr>
        <w:t xml:space="preserve"> ukazují na </w:t>
      </w:r>
      <w:r w:rsidR="00574B09" w:rsidRPr="000E7DCF">
        <w:rPr>
          <w:sz w:val="22"/>
          <w:szCs w:val="22"/>
        </w:rPr>
        <w:t xml:space="preserve">relativně </w:t>
      </w:r>
      <w:r w:rsidR="001E7676" w:rsidRPr="000E7DCF">
        <w:rPr>
          <w:sz w:val="22"/>
          <w:szCs w:val="22"/>
        </w:rPr>
        <w:t>vyrovnaný</w:t>
      </w:r>
      <w:r w:rsidRPr="000E7DCF">
        <w:rPr>
          <w:sz w:val="22"/>
          <w:szCs w:val="22"/>
        </w:rPr>
        <w:t xml:space="preserve"> stav </w:t>
      </w:r>
      <w:r w:rsidR="007503A3" w:rsidRPr="000E7DCF">
        <w:rPr>
          <w:sz w:val="22"/>
          <w:szCs w:val="22"/>
        </w:rPr>
        <w:t>hladiny podzemní vody s minimálními fluktuacemi.</w:t>
      </w:r>
      <w:r w:rsidR="007503A3" w:rsidRPr="007503A3">
        <w:rPr>
          <w:sz w:val="22"/>
          <w:szCs w:val="22"/>
        </w:rPr>
        <w:t xml:space="preserve"> </w:t>
      </w:r>
    </w:p>
    <w:p w:rsidR="00105692" w:rsidRPr="009531CC" w:rsidRDefault="00105692" w:rsidP="00105692"/>
    <w:p w:rsidR="008051E5" w:rsidRPr="009531CC" w:rsidRDefault="00723502" w:rsidP="005A1133">
      <w:pPr>
        <w:pStyle w:val="Nadpis2"/>
        <w:numPr>
          <w:ilvl w:val="0"/>
          <w:numId w:val="0"/>
        </w:numPr>
      </w:pPr>
      <w:bookmarkStart w:id="55" w:name="_Toc405386079"/>
      <w:bookmarkStart w:id="56" w:name="_Toc405386158"/>
      <w:r>
        <w:t>5</w:t>
      </w:r>
      <w:r w:rsidR="006620D9" w:rsidRPr="009531CC">
        <w:t>.2</w:t>
      </w:r>
      <w:r w:rsidR="006620D9" w:rsidRPr="009531CC">
        <w:tab/>
      </w:r>
      <w:r w:rsidR="008051E5" w:rsidRPr="009531CC">
        <w:t>Transportní část</w:t>
      </w:r>
      <w:bookmarkEnd w:id="53"/>
      <w:bookmarkEnd w:id="54"/>
      <w:bookmarkEnd w:id="55"/>
      <w:bookmarkEnd w:id="56"/>
    </w:p>
    <w:p w:rsidR="008051E5" w:rsidRPr="00F064C5" w:rsidRDefault="00723502" w:rsidP="001E3E21">
      <w:pPr>
        <w:pStyle w:val="Nadpis3"/>
        <w:numPr>
          <w:ilvl w:val="0"/>
          <w:numId w:val="0"/>
        </w:numPr>
      </w:pPr>
      <w:bookmarkStart w:id="57" w:name="_Toc187653505"/>
      <w:bookmarkStart w:id="58" w:name="_Toc176000237"/>
      <w:bookmarkStart w:id="59" w:name="_Toc405386080"/>
      <w:bookmarkStart w:id="60" w:name="_Toc405386159"/>
      <w:r w:rsidRPr="00F064C5">
        <w:t>5</w:t>
      </w:r>
      <w:r w:rsidR="006620D9" w:rsidRPr="00F064C5">
        <w:t>.2.1</w:t>
      </w:r>
      <w:r w:rsidR="006620D9" w:rsidRPr="00F064C5">
        <w:tab/>
      </w:r>
      <w:r w:rsidR="008051E5" w:rsidRPr="00F064C5">
        <w:t xml:space="preserve">Aktuální rozsah kontaminace </w:t>
      </w:r>
      <w:bookmarkEnd w:id="57"/>
      <w:bookmarkEnd w:id="58"/>
      <w:r w:rsidR="00A25934" w:rsidRPr="00F064C5">
        <w:t>PCE</w:t>
      </w:r>
      <w:bookmarkEnd w:id="59"/>
      <w:bookmarkEnd w:id="60"/>
    </w:p>
    <w:p w:rsidR="00F54FE5" w:rsidRDefault="00B0220B" w:rsidP="00586235">
      <w:pPr>
        <w:pStyle w:val="Zkladntextodsazen"/>
        <w:rPr>
          <w:sz w:val="22"/>
          <w:szCs w:val="22"/>
        </w:rPr>
      </w:pPr>
      <w:r w:rsidRPr="000E7DCF">
        <w:rPr>
          <w:sz w:val="22"/>
          <w:szCs w:val="22"/>
        </w:rPr>
        <w:t xml:space="preserve">Rozsah kontaminace </w:t>
      </w:r>
      <w:r w:rsidR="00A3281A" w:rsidRPr="000E7DCF">
        <w:rPr>
          <w:sz w:val="22"/>
          <w:szCs w:val="22"/>
        </w:rPr>
        <w:t>PCE</w:t>
      </w:r>
      <w:r w:rsidRPr="000E7DCF">
        <w:rPr>
          <w:sz w:val="22"/>
          <w:szCs w:val="22"/>
        </w:rPr>
        <w:t xml:space="preserve"> za</w:t>
      </w:r>
      <w:r w:rsidR="002D22CE" w:rsidRPr="000E7DCF">
        <w:rPr>
          <w:sz w:val="22"/>
          <w:szCs w:val="22"/>
        </w:rPr>
        <w:t xml:space="preserve"> </w:t>
      </w:r>
      <w:r w:rsidR="00193F86" w:rsidRPr="000E7DCF">
        <w:rPr>
          <w:sz w:val="22"/>
          <w:szCs w:val="22"/>
        </w:rPr>
        <w:t>roku</w:t>
      </w:r>
      <w:r w:rsidR="00A3281A" w:rsidRPr="000E7DCF">
        <w:rPr>
          <w:sz w:val="22"/>
          <w:szCs w:val="22"/>
        </w:rPr>
        <w:t xml:space="preserve"> </w:t>
      </w:r>
      <w:r w:rsidR="00E7346F" w:rsidRPr="000E7DCF">
        <w:rPr>
          <w:sz w:val="22"/>
          <w:szCs w:val="22"/>
        </w:rPr>
        <w:t>201</w:t>
      </w:r>
      <w:r w:rsidR="002D22CE" w:rsidRPr="000E7DCF">
        <w:rPr>
          <w:sz w:val="22"/>
          <w:szCs w:val="22"/>
        </w:rPr>
        <w:t>6</w:t>
      </w:r>
      <w:r w:rsidR="00DB58B7" w:rsidRPr="000E7DCF">
        <w:rPr>
          <w:sz w:val="22"/>
          <w:szCs w:val="22"/>
        </w:rPr>
        <w:t xml:space="preserve"> je uveden v příloze č. 7.1</w:t>
      </w:r>
      <w:r w:rsidR="006D26C0" w:rsidRPr="000E7DCF">
        <w:rPr>
          <w:sz w:val="22"/>
          <w:szCs w:val="22"/>
        </w:rPr>
        <w:t xml:space="preserve">, příloha č. 13 reprezentuje srovnání měřených </w:t>
      </w:r>
      <w:r w:rsidR="008F485B" w:rsidRPr="000E7DCF">
        <w:rPr>
          <w:sz w:val="22"/>
          <w:szCs w:val="22"/>
        </w:rPr>
        <w:t xml:space="preserve">(vstupních) </w:t>
      </w:r>
      <w:r w:rsidR="006D26C0" w:rsidRPr="000E7DCF">
        <w:rPr>
          <w:sz w:val="22"/>
          <w:szCs w:val="22"/>
        </w:rPr>
        <w:t>a modelových koncentrací v jednotlivých objektech</w:t>
      </w:r>
      <w:r w:rsidRPr="000E7DCF">
        <w:rPr>
          <w:sz w:val="22"/>
          <w:szCs w:val="22"/>
        </w:rPr>
        <w:t xml:space="preserve">. </w:t>
      </w:r>
      <w:r w:rsidR="00E37D60" w:rsidRPr="000E7DCF">
        <w:rPr>
          <w:sz w:val="22"/>
          <w:szCs w:val="22"/>
        </w:rPr>
        <w:t xml:space="preserve">Maximální koncentrace i nadále přetrvávají </w:t>
      </w:r>
      <w:r w:rsidR="008F485B" w:rsidRPr="000E7DCF">
        <w:rPr>
          <w:sz w:val="22"/>
          <w:szCs w:val="22"/>
        </w:rPr>
        <w:t xml:space="preserve">v saturované zóně v oblasti </w:t>
      </w:r>
      <w:r w:rsidR="000A10D5" w:rsidRPr="000E7DCF">
        <w:rPr>
          <w:sz w:val="22"/>
          <w:szCs w:val="22"/>
        </w:rPr>
        <w:t xml:space="preserve">stávající </w:t>
      </w:r>
      <w:r w:rsidR="008F485B" w:rsidRPr="000E7DCF">
        <w:rPr>
          <w:sz w:val="22"/>
          <w:szCs w:val="22"/>
        </w:rPr>
        <w:t xml:space="preserve">hydraulické bariéry (sanační vrty řady TJ a některých vrtů řady T) a </w:t>
      </w:r>
      <w:r w:rsidR="00A409C1" w:rsidRPr="000E7DCF">
        <w:rPr>
          <w:sz w:val="22"/>
          <w:szCs w:val="22"/>
        </w:rPr>
        <w:t>v ohniscích kontaminace (korea, kalírna a elektrodílny)</w:t>
      </w:r>
      <w:r w:rsidR="008F485B" w:rsidRPr="000E7DCF">
        <w:rPr>
          <w:sz w:val="22"/>
          <w:szCs w:val="22"/>
        </w:rPr>
        <w:t>. Maximální hodnoty byly monitoringem</w:t>
      </w:r>
      <w:r w:rsidR="00C233C9" w:rsidRPr="000E7DCF">
        <w:rPr>
          <w:sz w:val="22"/>
          <w:szCs w:val="22"/>
        </w:rPr>
        <w:t xml:space="preserve"> za rok 2016</w:t>
      </w:r>
      <w:r w:rsidR="00AE584D" w:rsidRPr="000E7DCF">
        <w:rPr>
          <w:sz w:val="22"/>
          <w:szCs w:val="22"/>
        </w:rPr>
        <w:t xml:space="preserve"> zastiženy v oblasti vrtu</w:t>
      </w:r>
      <w:r w:rsidR="008F485B" w:rsidRPr="000E7DCF">
        <w:rPr>
          <w:sz w:val="22"/>
          <w:szCs w:val="22"/>
        </w:rPr>
        <w:t xml:space="preserve"> </w:t>
      </w:r>
      <w:r w:rsidR="00AE584D" w:rsidRPr="000E7DCF">
        <w:rPr>
          <w:sz w:val="22"/>
          <w:szCs w:val="22"/>
        </w:rPr>
        <w:t>TJ-1 s průměry koncentrací cca 100 – 116</w:t>
      </w:r>
      <w:r w:rsidR="00586235" w:rsidRPr="000E7DCF">
        <w:rPr>
          <w:sz w:val="22"/>
          <w:szCs w:val="22"/>
        </w:rPr>
        <w:t xml:space="preserve"> µg/l PCE</w:t>
      </w:r>
      <w:r w:rsidR="00AE584D" w:rsidRPr="000E7DCF">
        <w:rPr>
          <w:sz w:val="22"/>
          <w:szCs w:val="22"/>
        </w:rPr>
        <w:t xml:space="preserve"> (únor – květen)</w:t>
      </w:r>
      <w:r w:rsidR="00586235" w:rsidRPr="000E7DCF">
        <w:rPr>
          <w:sz w:val="22"/>
          <w:szCs w:val="22"/>
        </w:rPr>
        <w:t>.</w:t>
      </w:r>
      <w:r w:rsidR="00AE584D" w:rsidRPr="000E7DCF">
        <w:rPr>
          <w:sz w:val="22"/>
          <w:szCs w:val="22"/>
        </w:rPr>
        <w:t xml:space="preserve"> Ve druhé polovině roku 2016 již klesly pod hranici 10</w:t>
      </w:r>
      <w:r w:rsidR="00586235" w:rsidRPr="000E7DCF">
        <w:rPr>
          <w:sz w:val="22"/>
          <w:szCs w:val="22"/>
        </w:rPr>
        <w:t xml:space="preserve"> </w:t>
      </w:r>
      <w:r w:rsidR="00AE584D" w:rsidRPr="000E7DCF">
        <w:rPr>
          <w:sz w:val="22"/>
          <w:szCs w:val="22"/>
        </w:rPr>
        <w:t>µg/l</w:t>
      </w:r>
      <w:r w:rsidR="00AE584D" w:rsidRPr="000E7DCF">
        <w:rPr>
          <w:sz w:val="22"/>
          <w:szCs w:val="22"/>
        </w:rPr>
        <w:t xml:space="preserve">. </w:t>
      </w:r>
      <w:r w:rsidR="00586235" w:rsidRPr="000E7DCF">
        <w:rPr>
          <w:sz w:val="22"/>
          <w:szCs w:val="22"/>
        </w:rPr>
        <w:t>Jedná se o příznivý pokles maxim koncentrací, které ješt</w:t>
      </w:r>
      <w:r w:rsidR="00AE584D" w:rsidRPr="000E7DCF">
        <w:rPr>
          <w:sz w:val="22"/>
          <w:szCs w:val="22"/>
        </w:rPr>
        <w:t>ě v roce 2015 převyšovaly izolinie 4</w:t>
      </w:r>
      <w:r w:rsidR="00586235" w:rsidRPr="000E7DCF">
        <w:rPr>
          <w:sz w:val="22"/>
          <w:szCs w:val="22"/>
        </w:rPr>
        <w:t>0 µg/l PCE.</w:t>
      </w:r>
    </w:p>
    <w:p w:rsidR="00957E33" w:rsidRDefault="00586235" w:rsidP="0047066F">
      <w:pPr>
        <w:pStyle w:val="Zkladntextodsazen"/>
        <w:rPr>
          <w:sz w:val="22"/>
          <w:szCs w:val="22"/>
        </w:rPr>
      </w:pPr>
      <w:r>
        <w:rPr>
          <w:sz w:val="22"/>
          <w:szCs w:val="22"/>
        </w:rPr>
        <w:t>Příznivý stav vývoje znečištění můžeme též přisuzovat provedené sanaci nesaturované zóny v předchozím odbdobí.</w:t>
      </w:r>
    </w:p>
    <w:p w:rsidR="00741C04" w:rsidRPr="000E7DCF" w:rsidRDefault="004C0C5C" w:rsidP="0047066F">
      <w:pPr>
        <w:pStyle w:val="Zkladntextodsazen"/>
        <w:rPr>
          <w:sz w:val="22"/>
          <w:szCs w:val="22"/>
        </w:rPr>
      </w:pPr>
      <w:r w:rsidRPr="000E7DCF">
        <w:rPr>
          <w:sz w:val="22"/>
          <w:szCs w:val="22"/>
        </w:rPr>
        <w:lastRenderedPageBreak/>
        <w:t xml:space="preserve">V oblasti Medlešic a Dřenic se koncentrace </w:t>
      </w:r>
      <w:r w:rsidR="00172611" w:rsidRPr="000E7DCF">
        <w:rPr>
          <w:sz w:val="22"/>
          <w:szCs w:val="22"/>
        </w:rPr>
        <w:t>PCE</w:t>
      </w:r>
      <w:r w:rsidRPr="000E7DCF">
        <w:rPr>
          <w:sz w:val="22"/>
          <w:szCs w:val="22"/>
        </w:rPr>
        <w:t xml:space="preserve"> pohybují v </w:t>
      </w:r>
      <w:r w:rsidR="00741C04" w:rsidRPr="000E7DCF">
        <w:rPr>
          <w:sz w:val="22"/>
          <w:szCs w:val="22"/>
        </w:rPr>
        <w:t>jednotkách a</w:t>
      </w:r>
      <w:r w:rsidR="000A10D5" w:rsidRPr="000E7DCF">
        <w:rPr>
          <w:sz w:val="22"/>
          <w:szCs w:val="22"/>
        </w:rPr>
        <w:t xml:space="preserve"> maximálně</w:t>
      </w:r>
      <w:r w:rsidR="00741C04" w:rsidRPr="000E7DCF">
        <w:rPr>
          <w:sz w:val="22"/>
          <w:szCs w:val="22"/>
        </w:rPr>
        <w:t xml:space="preserve"> prvních desítkách</w:t>
      </w:r>
      <w:r w:rsidRPr="000E7DCF">
        <w:rPr>
          <w:sz w:val="22"/>
          <w:szCs w:val="22"/>
        </w:rPr>
        <w:t xml:space="preserve"> µg.l</w:t>
      </w:r>
      <w:r w:rsidRPr="000E7DCF">
        <w:rPr>
          <w:sz w:val="22"/>
          <w:szCs w:val="22"/>
          <w:vertAlign w:val="superscript"/>
        </w:rPr>
        <w:t>−1</w:t>
      </w:r>
      <w:r w:rsidR="00741C04" w:rsidRPr="000E7DCF">
        <w:rPr>
          <w:sz w:val="22"/>
          <w:szCs w:val="22"/>
        </w:rPr>
        <w:t>.</w:t>
      </w:r>
    </w:p>
    <w:p w:rsidR="00AB2933" w:rsidRPr="00741C04" w:rsidRDefault="00D76855" w:rsidP="0047066F">
      <w:pPr>
        <w:pStyle w:val="Zkladntextodsazen"/>
        <w:rPr>
          <w:sz w:val="22"/>
          <w:szCs w:val="22"/>
        </w:rPr>
      </w:pPr>
      <w:r w:rsidRPr="000E7DCF">
        <w:rPr>
          <w:sz w:val="22"/>
          <w:szCs w:val="22"/>
        </w:rPr>
        <w:t>V transportní části modelového řešení</w:t>
      </w:r>
      <w:r w:rsidR="00DC5BA9" w:rsidRPr="000E7DCF">
        <w:rPr>
          <w:sz w:val="22"/>
          <w:szCs w:val="22"/>
        </w:rPr>
        <w:t xml:space="preserve"> </w:t>
      </w:r>
      <w:r w:rsidR="00BC0FDB" w:rsidRPr="000E7DCF">
        <w:rPr>
          <w:sz w:val="22"/>
          <w:szCs w:val="22"/>
        </w:rPr>
        <w:t>byl uvažován transport</w:t>
      </w:r>
      <w:r w:rsidR="00DC5BA9" w:rsidRPr="000E7DCF">
        <w:rPr>
          <w:sz w:val="22"/>
          <w:szCs w:val="22"/>
        </w:rPr>
        <w:t xml:space="preserve"> </w:t>
      </w:r>
      <w:r w:rsidR="005F45B8" w:rsidRPr="000E7DCF">
        <w:rPr>
          <w:sz w:val="22"/>
          <w:szCs w:val="22"/>
        </w:rPr>
        <w:t xml:space="preserve">chlorovaných uhlovodíků v ukazateli </w:t>
      </w:r>
      <w:r w:rsidR="00172611" w:rsidRPr="000E7DCF">
        <w:rPr>
          <w:sz w:val="22"/>
          <w:szCs w:val="22"/>
        </w:rPr>
        <w:t>PCE</w:t>
      </w:r>
      <w:r w:rsidR="00DC5BA9" w:rsidRPr="000E7DCF">
        <w:rPr>
          <w:sz w:val="22"/>
          <w:szCs w:val="22"/>
        </w:rPr>
        <w:t>. Aktuální rozsah kontaminace saturované zóny byl sestave</w:t>
      </w:r>
      <w:r w:rsidR="00234AA0" w:rsidRPr="000E7DCF">
        <w:rPr>
          <w:sz w:val="22"/>
          <w:szCs w:val="22"/>
        </w:rPr>
        <w:t xml:space="preserve">n na základě monitoringu </w:t>
      </w:r>
      <w:r w:rsidR="00CD3D28" w:rsidRPr="000E7DCF">
        <w:rPr>
          <w:sz w:val="22"/>
          <w:szCs w:val="22"/>
        </w:rPr>
        <w:t>podzemních vod na lokalitě</w:t>
      </w:r>
      <w:r w:rsidR="00234AA0" w:rsidRPr="000E7DCF">
        <w:rPr>
          <w:sz w:val="22"/>
          <w:szCs w:val="22"/>
        </w:rPr>
        <w:t>.</w:t>
      </w:r>
      <w:r w:rsidR="00DC5BA9" w:rsidRPr="000E7DCF">
        <w:rPr>
          <w:sz w:val="22"/>
          <w:szCs w:val="22"/>
        </w:rPr>
        <w:t xml:space="preserve"> </w:t>
      </w:r>
      <w:r w:rsidR="003E38AD" w:rsidRPr="000E7DCF">
        <w:rPr>
          <w:sz w:val="22"/>
          <w:szCs w:val="22"/>
        </w:rPr>
        <w:t>J</w:t>
      </w:r>
      <w:r w:rsidR="00DC5BA9" w:rsidRPr="000E7DCF">
        <w:rPr>
          <w:sz w:val="22"/>
          <w:szCs w:val="22"/>
        </w:rPr>
        <w:t xml:space="preserve">ako vstupní hodnoty </w:t>
      </w:r>
      <w:r w:rsidR="00172611" w:rsidRPr="000E7DCF">
        <w:rPr>
          <w:sz w:val="22"/>
          <w:szCs w:val="22"/>
        </w:rPr>
        <w:t>PCE</w:t>
      </w:r>
      <w:r w:rsidR="003E38AD" w:rsidRPr="000E7DCF">
        <w:rPr>
          <w:sz w:val="22"/>
          <w:szCs w:val="22"/>
        </w:rPr>
        <w:t xml:space="preserve"> byly</w:t>
      </w:r>
      <w:r w:rsidR="00DC5BA9" w:rsidRPr="000E7DCF">
        <w:rPr>
          <w:sz w:val="22"/>
          <w:szCs w:val="22"/>
        </w:rPr>
        <w:t xml:space="preserve"> uvažovány koncentrac</w:t>
      </w:r>
      <w:r w:rsidR="001C3FFE" w:rsidRPr="000E7DCF">
        <w:rPr>
          <w:sz w:val="22"/>
          <w:szCs w:val="22"/>
        </w:rPr>
        <w:t>e</w:t>
      </w:r>
      <w:r w:rsidR="00DC5BA9" w:rsidRPr="000E7DCF">
        <w:rPr>
          <w:sz w:val="22"/>
          <w:szCs w:val="22"/>
        </w:rPr>
        <w:t xml:space="preserve"> </w:t>
      </w:r>
      <w:r w:rsidR="001C3FFE" w:rsidRPr="000E7DCF">
        <w:rPr>
          <w:sz w:val="22"/>
          <w:szCs w:val="22"/>
        </w:rPr>
        <w:t xml:space="preserve">za </w:t>
      </w:r>
      <w:r w:rsidR="00C233C9" w:rsidRPr="000E7DCF">
        <w:rPr>
          <w:sz w:val="22"/>
          <w:szCs w:val="22"/>
        </w:rPr>
        <w:t xml:space="preserve">rok </w:t>
      </w:r>
      <w:r w:rsidR="00172611" w:rsidRPr="000E7DCF">
        <w:rPr>
          <w:sz w:val="22"/>
          <w:szCs w:val="22"/>
        </w:rPr>
        <w:t>201</w:t>
      </w:r>
      <w:r w:rsidR="00C233C9" w:rsidRPr="000E7DCF">
        <w:rPr>
          <w:sz w:val="22"/>
          <w:szCs w:val="22"/>
        </w:rPr>
        <w:t>6</w:t>
      </w:r>
      <w:r w:rsidR="00586235" w:rsidRPr="000E7DCF">
        <w:rPr>
          <w:sz w:val="22"/>
          <w:szCs w:val="22"/>
        </w:rPr>
        <w:t>, tj. byly uvažovány průměry měřených hodnot.</w:t>
      </w:r>
    </w:p>
    <w:p w:rsidR="00165F5F" w:rsidRPr="00FA68FB" w:rsidRDefault="00165F5F" w:rsidP="00D45C10">
      <w:pPr>
        <w:jc w:val="center"/>
        <w:rPr>
          <w:highlight w:val="yellow"/>
        </w:rPr>
      </w:pPr>
      <w:bookmarkStart w:id="61" w:name="_Toc176000238"/>
      <w:bookmarkStart w:id="62" w:name="_Toc187653506"/>
    </w:p>
    <w:p w:rsidR="008051E5" w:rsidRPr="00BE0BAE" w:rsidRDefault="00723502" w:rsidP="005D34F7">
      <w:pPr>
        <w:pStyle w:val="Nadpis3"/>
        <w:numPr>
          <w:ilvl w:val="0"/>
          <w:numId w:val="0"/>
        </w:numPr>
      </w:pPr>
      <w:bookmarkStart w:id="63" w:name="_Toc405386081"/>
      <w:bookmarkStart w:id="64" w:name="_Toc405386160"/>
      <w:r w:rsidRPr="00BE0BAE">
        <w:t>5</w:t>
      </w:r>
      <w:r w:rsidR="00EF69EF" w:rsidRPr="00BE0BAE">
        <w:t>.2.2</w:t>
      </w:r>
      <w:r w:rsidR="006620D9" w:rsidRPr="00BE0BAE">
        <w:tab/>
      </w:r>
      <w:r w:rsidR="008051E5" w:rsidRPr="00BE0BAE">
        <w:t xml:space="preserve">Prognózní simulace vývoje transportu </w:t>
      </w:r>
      <w:bookmarkEnd w:id="61"/>
      <w:bookmarkEnd w:id="62"/>
      <w:r w:rsidR="00172611" w:rsidRPr="00BE0BAE">
        <w:t>PCE</w:t>
      </w:r>
      <w:bookmarkEnd w:id="63"/>
      <w:bookmarkEnd w:id="64"/>
    </w:p>
    <w:p w:rsidR="00EA3ADB" w:rsidRPr="009531CC" w:rsidRDefault="00EA3ADB" w:rsidP="005D34F7">
      <w:pPr>
        <w:pStyle w:val="Nadpis4"/>
        <w:numPr>
          <w:ilvl w:val="0"/>
          <w:numId w:val="0"/>
        </w:numPr>
      </w:pPr>
      <w:bookmarkStart w:id="65" w:name="_Toc405386161"/>
      <w:r>
        <w:t>5</w:t>
      </w:r>
      <w:r w:rsidRPr="009531CC">
        <w:t>.2.</w:t>
      </w:r>
      <w:r>
        <w:t>2</w:t>
      </w:r>
      <w:r w:rsidRPr="009531CC">
        <w:t>.1</w:t>
      </w:r>
      <w:r w:rsidRPr="009531CC">
        <w:tab/>
      </w:r>
      <w:r>
        <w:t>Prognózní simulace transportu PCE v modelové oblasti</w:t>
      </w:r>
      <w:bookmarkEnd w:id="65"/>
    </w:p>
    <w:p w:rsidR="001B5FDB" w:rsidRPr="000B361D" w:rsidRDefault="00C36B48" w:rsidP="002C3232">
      <w:pPr>
        <w:ind w:firstLine="426"/>
        <w:jc w:val="both"/>
        <w:rPr>
          <w:sz w:val="22"/>
          <w:szCs w:val="22"/>
        </w:rPr>
      </w:pPr>
      <w:r w:rsidRPr="00BE0BAE">
        <w:rPr>
          <w:sz w:val="22"/>
          <w:szCs w:val="22"/>
        </w:rPr>
        <w:t xml:space="preserve">Jako výchozí stav pro </w:t>
      </w:r>
      <w:r w:rsidRPr="000B361D">
        <w:rPr>
          <w:sz w:val="22"/>
          <w:szCs w:val="22"/>
        </w:rPr>
        <w:t xml:space="preserve">prognózní simulace je uvažován aktuální </w:t>
      </w:r>
      <w:r w:rsidR="00BE0BAE" w:rsidRPr="000B361D">
        <w:rPr>
          <w:sz w:val="22"/>
          <w:szCs w:val="22"/>
        </w:rPr>
        <w:t xml:space="preserve">ovlivněný </w:t>
      </w:r>
      <w:r w:rsidRPr="000B361D">
        <w:rPr>
          <w:sz w:val="22"/>
          <w:szCs w:val="22"/>
        </w:rPr>
        <w:t xml:space="preserve">stav znečištění uvedený v kapitole 5.2.1 a znázorněný v grafické podobě v příloze č. 7.1. </w:t>
      </w:r>
      <w:r w:rsidR="002C3232" w:rsidRPr="000B361D">
        <w:rPr>
          <w:sz w:val="22"/>
          <w:szCs w:val="22"/>
        </w:rPr>
        <w:t xml:space="preserve">Simulace byla laděna na </w:t>
      </w:r>
      <w:r w:rsidR="002C3232" w:rsidRPr="000B361D">
        <w:rPr>
          <w:b/>
          <w:sz w:val="22"/>
          <w:szCs w:val="22"/>
        </w:rPr>
        <w:t xml:space="preserve">období </w:t>
      </w:r>
      <w:r w:rsidR="003362EA" w:rsidRPr="000B361D">
        <w:rPr>
          <w:b/>
          <w:sz w:val="22"/>
          <w:szCs w:val="22"/>
        </w:rPr>
        <w:t>1</w:t>
      </w:r>
      <w:r w:rsidR="002C3232" w:rsidRPr="000B361D">
        <w:rPr>
          <w:b/>
          <w:sz w:val="22"/>
          <w:szCs w:val="22"/>
        </w:rPr>
        <w:t>0 let</w:t>
      </w:r>
      <w:r w:rsidR="002C3232" w:rsidRPr="000B361D">
        <w:rPr>
          <w:sz w:val="22"/>
          <w:szCs w:val="22"/>
        </w:rPr>
        <w:t>, s</w:t>
      </w:r>
      <w:r w:rsidR="003344DA" w:rsidRPr="000B361D">
        <w:rPr>
          <w:sz w:val="22"/>
          <w:szCs w:val="22"/>
        </w:rPr>
        <w:t> </w:t>
      </w:r>
      <w:r w:rsidR="002C3232" w:rsidRPr="000B361D">
        <w:rPr>
          <w:sz w:val="22"/>
          <w:szCs w:val="22"/>
        </w:rPr>
        <w:t xml:space="preserve">výstupy po </w:t>
      </w:r>
      <w:r w:rsidR="007A346D">
        <w:rPr>
          <w:sz w:val="22"/>
          <w:szCs w:val="22"/>
        </w:rPr>
        <w:t>1</w:t>
      </w:r>
      <w:r w:rsidR="002C3232" w:rsidRPr="000B361D">
        <w:rPr>
          <w:sz w:val="22"/>
          <w:szCs w:val="22"/>
        </w:rPr>
        <w:t xml:space="preserve">, </w:t>
      </w:r>
      <w:r w:rsidR="007A346D">
        <w:rPr>
          <w:sz w:val="22"/>
          <w:szCs w:val="22"/>
        </w:rPr>
        <w:t>5</w:t>
      </w:r>
      <w:r w:rsidR="003362EA" w:rsidRPr="000B361D">
        <w:rPr>
          <w:sz w:val="22"/>
          <w:szCs w:val="22"/>
        </w:rPr>
        <w:t xml:space="preserve"> a </w:t>
      </w:r>
      <w:r w:rsidR="002C3232" w:rsidRPr="000B361D">
        <w:rPr>
          <w:sz w:val="22"/>
          <w:szCs w:val="22"/>
        </w:rPr>
        <w:t xml:space="preserve">10 letech. </w:t>
      </w:r>
      <w:r w:rsidR="00C25D56" w:rsidRPr="000B361D">
        <w:rPr>
          <w:sz w:val="22"/>
          <w:szCs w:val="22"/>
        </w:rPr>
        <w:t>Plošné rozsahy prognózního vývoje kontaminace PCE jsou uvedeny v přílohách č.</w:t>
      </w:r>
      <w:r w:rsidR="002C3232" w:rsidRPr="000B361D">
        <w:rPr>
          <w:sz w:val="22"/>
          <w:szCs w:val="22"/>
        </w:rPr>
        <w:t> </w:t>
      </w:r>
      <w:r w:rsidR="00C25D56" w:rsidRPr="000B361D">
        <w:rPr>
          <w:sz w:val="22"/>
          <w:szCs w:val="22"/>
        </w:rPr>
        <w:t>7.2–7.</w:t>
      </w:r>
      <w:r w:rsidR="003362EA" w:rsidRPr="000B361D">
        <w:rPr>
          <w:sz w:val="22"/>
          <w:szCs w:val="22"/>
        </w:rPr>
        <w:t>4 pro celou modelovou oblast, detailní situace v oblasti nového závodu je prezentována v přílohách 7.5–7.8. G</w:t>
      </w:r>
      <w:r w:rsidR="00C25D56" w:rsidRPr="000B361D">
        <w:rPr>
          <w:sz w:val="22"/>
          <w:szCs w:val="22"/>
        </w:rPr>
        <w:t>rafické znázornění budoucího vývoje koncentrací PCE v</w:t>
      </w:r>
      <w:r w:rsidR="003362EA" w:rsidRPr="000B361D">
        <w:rPr>
          <w:sz w:val="22"/>
          <w:szCs w:val="22"/>
        </w:rPr>
        <w:t>e</w:t>
      </w:r>
      <w:r w:rsidR="00C25D56" w:rsidRPr="000B361D">
        <w:rPr>
          <w:sz w:val="22"/>
          <w:szCs w:val="22"/>
        </w:rPr>
        <w:t>  vybraných objektech obsahuje příloha č. 10.</w:t>
      </w:r>
    </w:p>
    <w:p w:rsidR="00AA1622" w:rsidRPr="000E7DCF" w:rsidRDefault="000B361D" w:rsidP="000424CD">
      <w:pPr>
        <w:spacing w:before="120"/>
        <w:ind w:firstLine="360"/>
        <w:jc w:val="both"/>
        <w:rPr>
          <w:sz w:val="22"/>
          <w:szCs w:val="22"/>
        </w:rPr>
      </w:pPr>
      <w:r w:rsidRPr="000E7DCF">
        <w:rPr>
          <w:sz w:val="22"/>
          <w:szCs w:val="22"/>
        </w:rPr>
        <w:t>Jako v předchozím mod</w:t>
      </w:r>
      <w:r w:rsidR="00C233C9" w:rsidRPr="000E7DCF">
        <w:rPr>
          <w:sz w:val="22"/>
          <w:szCs w:val="22"/>
        </w:rPr>
        <w:t>elovém řešení z roku 2015</w:t>
      </w:r>
      <w:r w:rsidRPr="000E7DCF">
        <w:rPr>
          <w:sz w:val="22"/>
          <w:szCs w:val="22"/>
        </w:rPr>
        <w:t xml:space="preserve">, je aktuálním </w:t>
      </w:r>
      <w:r w:rsidR="00AA1622" w:rsidRPr="000E7DCF">
        <w:rPr>
          <w:sz w:val="22"/>
          <w:szCs w:val="22"/>
        </w:rPr>
        <w:t xml:space="preserve">cílem </w:t>
      </w:r>
      <w:r w:rsidR="005131BC" w:rsidRPr="000E7DCF">
        <w:rPr>
          <w:sz w:val="22"/>
          <w:szCs w:val="22"/>
        </w:rPr>
        <w:t xml:space="preserve">soustředit se na simulaci vývoje koncentrací v této oblasti z hlediska návrhu změny </w:t>
      </w:r>
      <w:r w:rsidR="004606F6" w:rsidRPr="000E7DCF">
        <w:rPr>
          <w:sz w:val="22"/>
          <w:szCs w:val="22"/>
        </w:rPr>
        <w:t xml:space="preserve">režimu </w:t>
      </w:r>
      <w:r w:rsidR="005131BC" w:rsidRPr="000E7DCF">
        <w:rPr>
          <w:sz w:val="22"/>
          <w:szCs w:val="22"/>
        </w:rPr>
        <w:t xml:space="preserve">provozu </w:t>
      </w:r>
      <w:r w:rsidR="004606F6" w:rsidRPr="000E7DCF">
        <w:rPr>
          <w:sz w:val="22"/>
          <w:szCs w:val="22"/>
        </w:rPr>
        <w:t>hydraulické barié</w:t>
      </w:r>
      <w:r w:rsidR="005131BC" w:rsidRPr="000E7DCF">
        <w:rPr>
          <w:sz w:val="22"/>
          <w:szCs w:val="22"/>
        </w:rPr>
        <w:t>ry</w:t>
      </w:r>
      <w:r w:rsidR="004606F6" w:rsidRPr="000E7DCF">
        <w:rPr>
          <w:sz w:val="22"/>
          <w:szCs w:val="22"/>
        </w:rPr>
        <w:t>.</w:t>
      </w:r>
    </w:p>
    <w:p w:rsidR="000B361D" w:rsidRPr="000E7DCF" w:rsidRDefault="001705A4" w:rsidP="001705A4">
      <w:pPr>
        <w:pStyle w:val="Zkladntextodsazen"/>
        <w:ind w:firstLine="426"/>
        <w:rPr>
          <w:sz w:val="22"/>
          <w:szCs w:val="22"/>
        </w:rPr>
      </w:pPr>
      <w:r w:rsidRPr="000E7DCF">
        <w:rPr>
          <w:sz w:val="22"/>
          <w:szCs w:val="22"/>
        </w:rPr>
        <w:t xml:space="preserve">Z hlediska dlouhodobého výhledu bude </w:t>
      </w:r>
      <w:r w:rsidR="00E14594" w:rsidRPr="000E7DCF">
        <w:rPr>
          <w:sz w:val="22"/>
          <w:szCs w:val="22"/>
        </w:rPr>
        <w:t xml:space="preserve">dále </w:t>
      </w:r>
      <w:r w:rsidRPr="000E7DCF">
        <w:rPr>
          <w:sz w:val="22"/>
          <w:szCs w:val="22"/>
        </w:rPr>
        <w:t xml:space="preserve">docházet k rozpouštění </w:t>
      </w:r>
      <w:r w:rsidR="000B361D" w:rsidRPr="000E7DCF">
        <w:rPr>
          <w:sz w:val="22"/>
          <w:szCs w:val="22"/>
        </w:rPr>
        <w:t>zbytkových</w:t>
      </w:r>
      <w:r w:rsidRPr="000E7DCF">
        <w:rPr>
          <w:sz w:val="22"/>
          <w:szCs w:val="22"/>
        </w:rPr>
        <w:t xml:space="preserve"> chlorovaných uhlovodíků. Zdroje kontaminace v nesaturované zóně byly</w:t>
      </w:r>
      <w:r w:rsidR="000B361D" w:rsidRPr="000E7DCF">
        <w:rPr>
          <w:sz w:val="22"/>
          <w:szCs w:val="22"/>
        </w:rPr>
        <w:t xml:space="preserve"> v letech 2013 – 2014 odstraněny a sanovány. Nyní dochází k pozvolnému poklesu zbytkového znečištění, obsaženého v saturované zóně.</w:t>
      </w:r>
      <w:r w:rsidRPr="000E7DCF">
        <w:rPr>
          <w:sz w:val="22"/>
          <w:szCs w:val="22"/>
        </w:rPr>
        <w:t xml:space="preserve"> </w:t>
      </w:r>
    </w:p>
    <w:p w:rsidR="00997680" w:rsidRPr="000E7DCF" w:rsidRDefault="000A609C" w:rsidP="000B361D">
      <w:pPr>
        <w:pStyle w:val="Zkladntextodsazen"/>
        <w:ind w:firstLine="426"/>
        <w:rPr>
          <w:sz w:val="22"/>
          <w:szCs w:val="22"/>
        </w:rPr>
      </w:pPr>
      <w:r w:rsidRPr="000E7DCF">
        <w:rPr>
          <w:sz w:val="22"/>
          <w:szCs w:val="22"/>
        </w:rPr>
        <w:t>Z příloh č. 7.5–7.8 je v horizontu 10 let za provozu hydraulické bariéry redukce PCE v</w:t>
      </w:r>
      <w:r w:rsidR="00AE584D" w:rsidRPr="000E7DCF">
        <w:rPr>
          <w:sz w:val="22"/>
          <w:szCs w:val="22"/>
        </w:rPr>
        <w:t> </w:t>
      </w:r>
      <w:r w:rsidRPr="000E7DCF">
        <w:rPr>
          <w:sz w:val="22"/>
          <w:szCs w:val="22"/>
        </w:rPr>
        <w:t>saturované</w:t>
      </w:r>
      <w:r w:rsidR="00AE584D" w:rsidRPr="000E7DCF">
        <w:rPr>
          <w:sz w:val="22"/>
          <w:szCs w:val="22"/>
        </w:rPr>
        <w:t xml:space="preserve"> zóně</w:t>
      </w:r>
      <w:r w:rsidRPr="000E7DCF">
        <w:rPr>
          <w:sz w:val="22"/>
          <w:szCs w:val="22"/>
        </w:rPr>
        <w:t xml:space="preserve"> </w:t>
      </w:r>
      <w:r w:rsidR="000B361D" w:rsidRPr="000E7DCF">
        <w:rPr>
          <w:sz w:val="22"/>
          <w:szCs w:val="22"/>
        </w:rPr>
        <w:t>velice patrná</w:t>
      </w:r>
      <w:r w:rsidRPr="000E7DCF">
        <w:rPr>
          <w:sz w:val="22"/>
          <w:szCs w:val="22"/>
        </w:rPr>
        <w:t>. Nejvíce jsou redukovány plochy s vyššími relativními hodnotam</w:t>
      </w:r>
      <w:r w:rsidR="000B361D" w:rsidRPr="000E7DCF">
        <w:rPr>
          <w:sz w:val="22"/>
          <w:szCs w:val="22"/>
        </w:rPr>
        <w:t xml:space="preserve">i kontaminantu v podzemní vodě (vrty nejblíže ohnisku). </w:t>
      </w:r>
      <w:r w:rsidR="00AE584D" w:rsidRPr="000E7DCF">
        <w:rPr>
          <w:sz w:val="22"/>
          <w:szCs w:val="22"/>
        </w:rPr>
        <w:t>Zatímco v roce 2016 plocha přesahující 5</w:t>
      </w:r>
      <w:r w:rsidR="00190C49" w:rsidRPr="000E7DCF">
        <w:rPr>
          <w:sz w:val="22"/>
          <w:szCs w:val="22"/>
        </w:rPr>
        <w:t xml:space="preserve"> µg/l PCE </w:t>
      </w:r>
      <w:r w:rsidR="000B361D" w:rsidRPr="000E7DCF">
        <w:rPr>
          <w:sz w:val="22"/>
          <w:szCs w:val="22"/>
        </w:rPr>
        <w:t>dosahovala</w:t>
      </w:r>
      <w:r w:rsidR="00190C49" w:rsidRPr="000E7DCF">
        <w:rPr>
          <w:sz w:val="22"/>
          <w:szCs w:val="22"/>
        </w:rPr>
        <w:t xml:space="preserve"> </w:t>
      </w:r>
      <w:r w:rsidR="00D303DA" w:rsidRPr="000E7DCF">
        <w:rPr>
          <w:sz w:val="22"/>
          <w:szCs w:val="22"/>
        </w:rPr>
        <w:t>173 251</w:t>
      </w:r>
      <w:r w:rsidR="00190C49" w:rsidRPr="000E7DCF">
        <w:rPr>
          <w:sz w:val="22"/>
          <w:szCs w:val="22"/>
        </w:rPr>
        <w:t xml:space="preserve"> m</w:t>
      </w:r>
      <w:r w:rsidR="00190C49" w:rsidRPr="000E7DCF">
        <w:rPr>
          <w:sz w:val="22"/>
          <w:szCs w:val="22"/>
          <w:vertAlign w:val="superscript"/>
        </w:rPr>
        <w:t>2</w:t>
      </w:r>
      <w:r w:rsidR="00D303DA" w:rsidRPr="000E7DCF">
        <w:rPr>
          <w:sz w:val="22"/>
          <w:szCs w:val="22"/>
        </w:rPr>
        <w:t xml:space="preserve"> a plocha přes 2</w:t>
      </w:r>
      <w:r w:rsidR="00190C49" w:rsidRPr="000E7DCF">
        <w:rPr>
          <w:sz w:val="22"/>
          <w:szCs w:val="22"/>
        </w:rPr>
        <w:t>0 µg/l P</w:t>
      </w:r>
      <w:r w:rsidR="00D303DA" w:rsidRPr="000E7DCF">
        <w:rPr>
          <w:sz w:val="22"/>
          <w:szCs w:val="22"/>
        </w:rPr>
        <w:t>CE 1478</w:t>
      </w:r>
      <w:r w:rsidR="00190C49" w:rsidRPr="000E7DCF">
        <w:rPr>
          <w:sz w:val="22"/>
          <w:szCs w:val="22"/>
        </w:rPr>
        <w:t xml:space="preserve"> m</w:t>
      </w:r>
      <w:r w:rsidR="00190C49" w:rsidRPr="000E7DCF">
        <w:rPr>
          <w:sz w:val="22"/>
          <w:szCs w:val="22"/>
          <w:vertAlign w:val="superscript"/>
        </w:rPr>
        <w:t>2</w:t>
      </w:r>
      <w:r w:rsidR="00190C49" w:rsidRPr="000E7DCF">
        <w:rPr>
          <w:sz w:val="22"/>
          <w:szCs w:val="22"/>
        </w:rPr>
        <w:t xml:space="preserve">, v roce 2016 </w:t>
      </w:r>
      <w:r w:rsidR="000B361D" w:rsidRPr="000E7DCF">
        <w:rPr>
          <w:sz w:val="22"/>
          <w:szCs w:val="22"/>
        </w:rPr>
        <w:t>došlo k příznivému p</w:t>
      </w:r>
      <w:r w:rsidR="00D303DA" w:rsidRPr="000E7DCF">
        <w:rPr>
          <w:sz w:val="22"/>
          <w:szCs w:val="22"/>
        </w:rPr>
        <w:t>oklesu koncentrací pod hranici 3</w:t>
      </w:r>
      <w:r w:rsidR="000B361D" w:rsidRPr="000E7DCF">
        <w:rPr>
          <w:sz w:val="22"/>
          <w:szCs w:val="22"/>
        </w:rPr>
        <w:t>0 µg/l PCE. Jedná se o výraznější zlepšení stavu, nežli bylo prognózováno v minulém modelovém zpracování. V kontaminované oblas</w:t>
      </w:r>
      <w:r w:rsidR="00D303DA" w:rsidRPr="000E7DCF">
        <w:rPr>
          <w:sz w:val="22"/>
          <w:szCs w:val="22"/>
        </w:rPr>
        <w:t>ti s nižšími koncentracemi pod 1</w:t>
      </w:r>
      <w:r w:rsidR="000B361D" w:rsidRPr="000E7DCF">
        <w:rPr>
          <w:sz w:val="22"/>
          <w:szCs w:val="22"/>
        </w:rPr>
        <w:t>0 µg/l PCE dochází k redukci znečištění již jen pozvolně.</w:t>
      </w:r>
    </w:p>
    <w:p w:rsidR="00ED4268" w:rsidRPr="000E7DCF" w:rsidRDefault="00ED4268" w:rsidP="001705A4">
      <w:pPr>
        <w:pStyle w:val="Zkladntextodsazen"/>
        <w:ind w:firstLine="426"/>
        <w:rPr>
          <w:sz w:val="22"/>
          <w:szCs w:val="22"/>
        </w:rPr>
      </w:pPr>
      <w:r w:rsidRPr="000E7DCF">
        <w:rPr>
          <w:sz w:val="22"/>
          <w:szCs w:val="22"/>
        </w:rPr>
        <w:t>Severní část kontaminačního mraku není výrazně ovlivněna čerpáním na hydraulické bariéř</w:t>
      </w:r>
      <w:r w:rsidR="00C233C9" w:rsidRPr="000E7DCF">
        <w:rPr>
          <w:sz w:val="22"/>
          <w:szCs w:val="22"/>
        </w:rPr>
        <w:t>e</w:t>
      </w:r>
      <w:r w:rsidRPr="000E7DCF">
        <w:rPr>
          <w:sz w:val="22"/>
          <w:szCs w:val="22"/>
        </w:rPr>
        <w:t xml:space="preserve"> a v</w:t>
      </w:r>
      <w:r w:rsidR="002C775F" w:rsidRPr="000E7DCF">
        <w:rPr>
          <w:sz w:val="22"/>
          <w:szCs w:val="22"/>
        </w:rPr>
        <w:t> </w:t>
      </w:r>
      <w:r w:rsidRPr="000E7DCF">
        <w:rPr>
          <w:sz w:val="22"/>
          <w:szCs w:val="22"/>
        </w:rPr>
        <w:t>rámci simulace dochází k redukci rozsahu, výrazným jevem je zmenšování ploch s hodnotou přesahující 5 µg/l a v horizontu 10 let</w:t>
      </w:r>
      <w:r w:rsidR="00D303DA" w:rsidRPr="000E7DCF">
        <w:rPr>
          <w:sz w:val="22"/>
          <w:szCs w:val="22"/>
        </w:rPr>
        <w:t xml:space="preserve"> i po odstavení</w:t>
      </w:r>
      <w:r w:rsidRPr="000E7DCF">
        <w:rPr>
          <w:sz w:val="22"/>
          <w:szCs w:val="22"/>
        </w:rPr>
        <w:t xml:space="preserve"> provozu hydraulické bariéry v severní části nového závodu, dochází k "odtržení" kontaminované vody s hodnotou nad 1 µg/l v oblasti vrtu T-31.</w:t>
      </w:r>
      <w:r w:rsidR="00727A86" w:rsidRPr="000E7DCF">
        <w:rPr>
          <w:sz w:val="22"/>
          <w:szCs w:val="22"/>
        </w:rPr>
        <w:t xml:space="preserve"> V horizontu 10 let dokonce dochází k zastavení postupu této kontaminace v severní části a rozsah je redukován i směrem k jihu.</w:t>
      </w:r>
    </w:p>
    <w:p w:rsidR="00EA3ADB" w:rsidRPr="009531CC" w:rsidRDefault="00EA3ADB" w:rsidP="004D2540">
      <w:pPr>
        <w:pStyle w:val="Nadpis4"/>
        <w:numPr>
          <w:ilvl w:val="0"/>
          <w:numId w:val="0"/>
        </w:numPr>
      </w:pPr>
      <w:bookmarkStart w:id="66" w:name="_Toc405386162"/>
      <w:r w:rsidRPr="000E7DCF">
        <w:t>5.2.2.2</w:t>
      </w:r>
      <w:r w:rsidRPr="000E7DCF">
        <w:tab/>
        <w:t>Prognózní vývoj v oblasti hydraulické bariéry</w:t>
      </w:r>
      <w:bookmarkEnd w:id="66"/>
    </w:p>
    <w:p w:rsidR="00997680" w:rsidRDefault="007E147B" w:rsidP="00EA3ADB">
      <w:pPr>
        <w:pStyle w:val="Zkladntextodsazen"/>
        <w:ind w:firstLine="426"/>
        <w:rPr>
          <w:sz w:val="22"/>
          <w:szCs w:val="22"/>
        </w:rPr>
      </w:pPr>
      <w:r>
        <w:rPr>
          <w:sz w:val="22"/>
          <w:szCs w:val="22"/>
        </w:rPr>
        <w:t xml:space="preserve">Z hlediska </w:t>
      </w:r>
      <w:r w:rsidR="00AA6BE7">
        <w:rPr>
          <w:sz w:val="22"/>
          <w:szCs w:val="22"/>
        </w:rPr>
        <w:t xml:space="preserve">efektivity hydraulické bariéry </w:t>
      </w:r>
      <w:r w:rsidR="004D2540">
        <w:rPr>
          <w:sz w:val="22"/>
          <w:szCs w:val="22"/>
        </w:rPr>
        <w:t>byla provedena revize výpočtů</w:t>
      </w:r>
      <w:r w:rsidR="00AA6BE7">
        <w:rPr>
          <w:sz w:val="22"/>
          <w:szCs w:val="22"/>
        </w:rPr>
        <w:t xml:space="preserve">, kdy dojde ke změně </w:t>
      </w:r>
      <w:r w:rsidR="004D2540">
        <w:rPr>
          <w:sz w:val="22"/>
          <w:szCs w:val="22"/>
        </w:rPr>
        <w:t>trendu simulovaných koncentrací, jak bylo provedeno v předchozím modelovém vypracování.</w:t>
      </w:r>
      <w:r w:rsidR="00AA6BE7">
        <w:rPr>
          <w:sz w:val="22"/>
          <w:szCs w:val="22"/>
        </w:rPr>
        <w:t xml:space="preserve"> Byly </w:t>
      </w:r>
      <w:r w:rsidR="004D2540">
        <w:rPr>
          <w:sz w:val="22"/>
          <w:szCs w:val="22"/>
        </w:rPr>
        <w:t xml:space="preserve">použity stejné objekty </w:t>
      </w:r>
      <w:r w:rsidR="00AA6BE7">
        <w:rPr>
          <w:sz w:val="22"/>
          <w:szCs w:val="22"/>
        </w:rPr>
        <w:t>situované v oblasti centra kontaminačního mraku, resp. v severní části areálu nového závodu. Na těchto objektech byla provedena analýza efektivity snižování kontaminace PCE v proudící podzemní vodě v rámci simulace na 10 let. Krok simulace byl 20 dní.</w:t>
      </w:r>
    </w:p>
    <w:p w:rsidR="00AA6BE7" w:rsidRDefault="00FD0807" w:rsidP="00EA3ADB">
      <w:pPr>
        <w:pStyle w:val="Zkladntextodsazen"/>
        <w:ind w:firstLine="426"/>
        <w:rPr>
          <w:sz w:val="22"/>
          <w:szCs w:val="22"/>
        </w:rPr>
      </w:pPr>
      <w:r>
        <w:rPr>
          <w:sz w:val="22"/>
          <w:szCs w:val="22"/>
        </w:rPr>
        <w:t>Jako reprezentativní objekty pro prezentaci výsledků analýzy byly vybrány vrty TJ-11, TJ-12 a T-29.</w:t>
      </w:r>
      <w:r w:rsidR="001229C7">
        <w:rPr>
          <w:sz w:val="22"/>
          <w:szCs w:val="22"/>
        </w:rPr>
        <w:t xml:space="preserve"> Následující graf</w:t>
      </w:r>
      <w:r w:rsidR="00FD038A">
        <w:rPr>
          <w:sz w:val="22"/>
          <w:szCs w:val="22"/>
        </w:rPr>
        <w:t>y</w:t>
      </w:r>
      <w:r w:rsidR="001229C7">
        <w:rPr>
          <w:sz w:val="22"/>
          <w:szCs w:val="22"/>
        </w:rPr>
        <w:t xml:space="preserve"> znázorňuj</w:t>
      </w:r>
      <w:r w:rsidR="00FD038A">
        <w:rPr>
          <w:sz w:val="22"/>
          <w:szCs w:val="22"/>
        </w:rPr>
        <w:t>í</w:t>
      </w:r>
      <w:r w:rsidR="001229C7">
        <w:rPr>
          <w:sz w:val="22"/>
          <w:szCs w:val="22"/>
        </w:rPr>
        <w:t xml:space="preserve"> </w:t>
      </w:r>
      <w:r w:rsidR="00CD600B">
        <w:rPr>
          <w:sz w:val="22"/>
          <w:szCs w:val="22"/>
        </w:rPr>
        <w:t xml:space="preserve">efektivitu poklesu koncentrací PCE v podzemní vodě v závislosti na </w:t>
      </w:r>
      <w:r w:rsidR="00B07120">
        <w:rPr>
          <w:sz w:val="22"/>
          <w:szCs w:val="22"/>
        </w:rPr>
        <w:t>úrovni koncentrace PCE v předchozím kroku. Hodnoty pro jednotlivé vrty byly vyneseny na základě výpočtu podle vzorce</w:t>
      </w:r>
    </w:p>
    <w:p w:rsidR="00B07120" w:rsidRDefault="007B5073" w:rsidP="00EA3ADB">
      <w:pPr>
        <w:pStyle w:val="Zkladntextodsazen"/>
        <w:ind w:firstLine="426"/>
        <w:rPr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E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n-1</m:t>
                      </m:r>
                    </m:sub>
                  </m:sSub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</m:t>
                      </m:r>
                    </m:sub>
                  </m:sSub>
                  <m:r>
                    <w:rPr>
                      <w:rFonts w:ascii="Cambria Math" w:hAnsi="Cambria Math"/>
                      <w:sz w:val="22"/>
                      <w:szCs w:val="22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n-1</m:t>
                      </m:r>
                    </m:sub>
                  </m:sSub>
                </m:e>
              </m:d>
            </m:den>
          </m:f>
        </m:oMath>
      </m:oMathPara>
    </w:p>
    <w:p w:rsidR="00B07120" w:rsidRPr="00A26F7B" w:rsidRDefault="00B07120" w:rsidP="00EA3ADB">
      <w:pPr>
        <w:pStyle w:val="Zkladntextodsazen"/>
        <w:ind w:firstLine="426"/>
        <w:rPr>
          <w:sz w:val="20"/>
        </w:rPr>
      </w:pPr>
      <w:r w:rsidRPr="00A26F7B">
        <w:rPr>
          <w:sz w:val="20"/>
        </w:rPr>
        <w:t>kde</w:t>
      </w:r>
    </w:p>
    <w:p w:rsidR="00B07120" w:rsidRPr="00A26F7B" w:rsidRDefault="00B07120" w:rsidP="00EA3ADB">
      <w:pPr>
        <w:pStyle w:val="Zkladntextodsazen"/>
        <w:ind w:firstLine="426"/>
        <w:rPr>
          <w:sz w:val="20"/>
        </w:rPr>
      </w:pPr>
      <w:r w:rsidRPr="00A26F7B">
        <w:rPr>
          <w:i/>
          <w:sz w:val="20"/>
        </w:rPr>
        <w:lastRenderedPageBreak/>
        <w:t>E</w:t>
      </w:r>
      <w:r w:rsidRPr="00A26F7B">
        <w:rPr>
          <w:i/>
          <w:sz w:val="20"/>
          <w:vertAlign w:val="subscript"/>
        </w:rPr>
        <w:t>f</w:t>
      </w:r>
      <w:r w:rsidRPr="00A26F7B">
        <w:rPr>
          <w:sz w:val="20"/>
        </w:rPr>
        <w:t xml:space="preserve"> </w:t>
      </w:r>
      <w:r w:rsidR="00321C73" w:rsidRPr="00A26F7B">
        <w:rPr>
          <w:sz w:val="20"/>
        </w:rPr>
        <w:t>–</w:t>
      </w:r>
      <w:r w:rsidRPr="00A26F7B">
        <w:rPr>
          <w:sz w:val="20"/>
        </w:rPr>
        <w:t xml:space="preserve"> relativní změna v závislosti na sledované změně od předchozího kroku měření</w:t>
      </w:r>
    </w:p>
    <w:p w:rsidR="00B07120" w:rsidRPr="00A26F7B" w:rsidRDefault="00B07120" w:rsidP="00EA3ADB">
      <w:pPr>
        <w:pStyle w:val="Zkladntextodsazen"/>
        <w:ind w:firstLine="426"/>
        <w:rPr>
          <w:sz w:val="20"/>
        </w:rPr>
      </w:pPr>
      <w:r w:rsidRPr="00A26F7B">
        <w:rPr>
          <w:i/>
          <w:sz w:val="20"/>
        </w:rPr>
        <w:t>C</w:t>
      </w:r>
      <w:r w:rsidRPr="00A26F7B">
        <w:rPr>
          <w:i/>
          <w:sz w:val="20"/>
          <w:vertAlign w:val="subscript"/>
        </w:rPr>
        <w:t>n</w:t>
      </w:r>
      <w:r w:rsidRPr="00A26F7B">
        <w:rPr>
          <w:sz w:val="20"/>
        </w:rPr>
        <w:t xml:space="preserve"> </w:t>
      </w:r>
      <w:r w:rsidR="00321C73" w:rsidRPr="00A26F7B">
        <w:rPr>
          <w:sz w:val="20"/>
        </w:rPr>
        <w:t>–</w:t>
      </w:r>
      <w:r w:rsidRPr="00A26F7B">
        <w:rPr>
          <w:sz w:val="20"/>
        </w:rPr>
        <w:t xml:space="preserve"> simulovaná koncentrace v daném kroku</w:t>
      </w:r>
      <w:r w:rsidR="0077517C" w:rsidRPr="00A26F7B">
        <w:rPr>
          <w:sz w:val="20"/>
        </w:rPr>
        <w:t xml:space="preserve"> (µg/l)</w:t>
      </w:r>
    </w:p>
    <w:p w:rsidR="00B07120" w:rsidRPr="00A26F7B" w:rsidRDefault="00B07120" w:rsidP="00B07120">
      <w:pPr>
        <w:pStyle w:val="Zkladntextodsazen"/>
        <w:ind w:firstLine="426"/>
        <w:rPr>
          <w:sz w:val="20"/>
        </w:rPr>
      </w:pPr>
      <w:r w:rsidRPr="00A26F7B">
        <w:rPr>
          <w:i/>
          <w:sz w:val="20"/>
        </w:rPr>
        <w:t>C</w:t>
      </w:r>
      <w:r w:rsidRPr="00A26F7B">
        <w:rPr>
          <w:i/>
          <w:sz w:val="20"/>
          <w:vertAlign w:val="subscript"/>
        </w:rPr>
        <w:t>n–1</w:t>
      </w:r>
      <w:r w:rsidRPr="00A26F7B">
        <w:rPr>
          <w:sz w:val="20"/>
        </w:rPr>
        <w:t xml:space="preserve"> </w:t>
      </w:r>
      <w:r w:rsidR="00321C73" w:rsidRPr="00A26F7B">
        <w:rPr>
          <w:sz w:val="20"/>
        </w:rPr>
        <w:t>–</w:t>
      </w:r>
      <w:r w:rsidRPr="00A26F7B">
        <w:rPr>
          <w:sz w:val="20"/>
        </w:rPr>
        <w:t xml:space="preserve"> simulovaná koncentrace v předchozím kroku</w:t>
      </w:r>
      <w:r w:rsidR="0077517C" w:rsidRPr="00A26F7B">
        <w:rPr>
          <w:sz w:val="20"/>
        </w:rPr>
        <w:t xml:space="preserve"> (µg/l)</w:t>
      </w:r>
    </w:p>
    <w:p w:rsidR="00B07120" w:rsidRPr="00A26F7B" w:rsidRDefault="00B07120" w:rsidP="00B07120">
      <w:pPr>
        <w:pStyle w:val="Zkladntextodsazen"/>
        <w:ind w:firstLine="426"/>
        <w:rPr>
          <w:sz w:val="20"/>
        </w:rPr>
      </w:pPr>
      <w:r w:rsidRPr="00A26F7B">
        <w:rPr>
          <w:i/>
          <w:sz w:val="20"/>
        </w:rPr>
        <w:t>t</w:t>
      </w:r>
      <w:r w:rsidRPr="00A26F7B">
        <w:rPr>
          <w:i/>
          <w:sz w:val="20"/>
          <w:vertAlign w:val="subscript"/>
        </w:rPr>
        <w:t>n</w:t>
      </w:r>
      <w:r w:rsidRPr="00A26F7B">
        <w:rPr>
          <w:sz w:val="20"/>
        </w:rPr>
        <w:t xml:space="preserve"> </w:t>
      </w:r>
      <w:r w:rsidR="00321C73" w:rsidRPr="00A26F7B">
        <w:rPr>
          <w:sz w:val="20"/>
        </w:rPr>
        <w:t>–</w:t>
      </w:r>
      <w:r w:rsidRPr="00A26F7B">
        <w:rPr>
          <w:sz w:val="20"/>
        </w:rPr>
        <w:t xml:space="preserve"> čas daného kroku</w:t>
      </w:r>
      <w:r w:rsidR="0077517C" w:rsidRPr="00A26F7B">
        <w:rPr>
          <w:sz w:val="20"/>
        </w:rPr>
        <w:t xml:space="preserve"> (dny)</w:t>
      </w:r>
    </w:p>
    <w:p w:rsidR="00B07120" w:rsidRPr="00A26F7B" w:rsidRDefault="00B07120" w:rsidP="00EA3ADB">
      <w:pPr>
        <w:pStyle w:val="Zkladntextodsazen"/>
        <w:ind w:firstLine="426"/>
        <w:rPr>
          <w:sz w:val="20"/>
        </w:rPr>
      </w:pPr>
      <w:r w:rsidRPr="00A26F7B">
        <w:rPr>
          <w:i/>
          <w:sz w:val="20"/>
        </w:rPr>
        <w:t>t</w:t>
      </w:r>
      <w:r w:rsidRPr="00A26F7B">
        <w:rPr>
          <w:i/>
          <w:sz w:val="20"/>
          <w:vertAlign w:val="subscript"/>
        </w:rPr>
        <w:t>n–1</w:t>
      </w:r>
      <w:r w:rsidRPr="00A26F7B">
        <w:rPr>
          <w:sz w:val="20"/>
        </w:rPr>
        <w:t xml:space="preserve"> </w:t>
      </w:r>
      <w:r w:rsidR="00321C73" w:rsidRPr="00A26F7B">
        <w:rPr>
          <w:sz w:val="20"/>
        </w:rPr>
        <w:t>–</w:t>
      </w:r>
      <w:r w:rsidRPr="00A26F7B">
        <w:rPr>
          <w:sz w:val="20"/>
        </w:rPr>
        <w:t xml:space="preserve"> čas předchozího kroku</w:t>
      </w:r>
      <w:r w:rsidR="0077517C" w:rsidRPr="00A26F7B">
        <w:rPr>
          <w:sz w:val="20"/>
        </w:rPr>
        <w:t xml:space="preserve"> (dny)</w:t>
      </w:r>
    </w:p>
    <w:p w:rsidR="00B07120" w:rsidRDefault="00B07120" w:rsidP="00EA3ADB">
      <w:pPr>
        <w:pStyle w:val="Zkladntextodsazen"/>
        <w:ind w:firstLine="426"/>
        <w:rPr>
          <w:sz w:val="22"/>
          <w:szCs w:val="22"/>
        </w:rPr>
      </w:pPr>
    </w:p>
    <w:p w:rsidR="00B07120" w:rsidRDefault="00213BC9" w:rsidP="00EA3ADB">
      <w:pPr>
        <w:pStyle w:val="Zkladntextodsazen"/>
        <w:ind w:firstLine="426"/>
        <w:rPr>
          <w:sz w:val="22"/>
          <w:szCs w:val="22"/>
        </w:rPr>
      </w:pPr>
      <w:r>
        <w:rPr>
          <w:sz w:val="22"/>
          <w:szCs w:val="22"/>
        </w:rPr>
        <w:t xml:space="preserve">Samotné hodnoty tedy reprezentují pokles kontaminace </w:t>
      </w:r>
      <w:r w:rsidR="00804F35">
        <w:rPr>
          <w:sz w:val="22"/>
          <w:szCs w:val="22"/>
        </w:rPr>
        <w:t xml:space="preserve">v podzemní vodě daného objektu </w:t>
      </w:r>
      <w:r>
        <w:rPr>
          <w:sz w:val="22"/>
          <w:szCs w:val="22"/>
        </w:rPr>
        <w:t>v</w:t>
      </w:r>
      <w:r w:rsidR="00804F35">
        <w:rPr>
          <w:sz w:val="22"/>
          <w:szCs w:val="22"/>
        </w:rPr>
        <w:t> </w:t>
      </w:r>
      <w:r>
        <w:rPr>
          <w:sz w:val="22"/>
          <w:szCs w:val="22"/>
        </w:rPr>
        <w:t>jednotkách µg/l/den.</w:t>
      </w:r>
    </w:p>
    <w:p w:rsidR="00FD038A" w:rsidRDefault="00FD038A" w:rsidP="00FD038A">
      <w:pPr>
        <w:pStyle w:val="Zkladntextodsazen"/>
        <w:spacing w:after="120"/>
        <w:ind w:firstLine="0"/>
        <w:jc w:val="left"/>
        <w:rPr>
          <w:i/>
          <w:iCs/>
          <w:szCs w:val="24"/>
          <w:u w:val="single"/>
        </w:rPr>
      </w:pPr>
    </w:p>
    <w:p w:rsidR="00FD038A" w:rsidRPr="00B20B96" w:rsidRDefault="00FD038A" w:rsidP="00FD038A">
      <w:pPr>
        <w:pStyle w:val="Zkladntextodsazen"/>
        <w:spacing w:after="120"/>
        <w:ind w:firstLine="0"/>
        <w:jc w:val="left"/>
        <w:rPr>
          <w:bCs/>
          <w:iCs/>
          <w:noProof/>
          <w:color w:val="000000"/>
          <w:sz w:val="20"/>
        </w:rPr>
      </w:pPr>
      <w:r w:rsidRPr="00B20B96">
        <w:rPr>
          <w:i/>
          <w:iCs/>
          <w:sz w:val="20"/>
          <w:u w:val="single"/>
        </w:rPr>
        <w:t>Grafy č. 2–3:</w:t>
      </w:r>
      <w:r w:rsidRPr="00B20B96">
        <w:rPr>
          <w:i/>
          <w:iCs/>
          <w:sz w:val="20"/>
          <w:u w:val="single"/>
        </w:rPr>
        <w:tab/>
      </w:r>
      <w:r w:rsidRPr="004D2540">
        <w:rPr>
          <w:i/>
          <w:iCs/>
          <w:sz w:val="20"/>
          <w:u w:val="single"/>
        </w:rPr>
        <w:t>Efektivita poklesu koncentrace PCE v rámci simulace na vybraných vrtech</w:t>
      </w:r>
    </w:p>
    <w:p w:rsidR="007E566D" w:rsidRDefault="00FD038A" w:rsidP="00FD038A">
      <w:pPr>
        <w:pStyle w:val="Zkladntextodsazen"/>
        <w:ind w:firstLine="426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750188" cy="2040144"/>
            <wp:effectExtent l="19050" t="0" r="2662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188" cy="20401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566D" w:rsidRDefault="007E566D" w:rsidP="00260F0D">
      <w:pPr>
        <w:pStyle w:val="Zkladntextodsazen"/>
        <w:ind w:firstLine="426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3775613" cy="2046490"/>
            <wp:effectExtent l="1905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5613" cy="204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BC9" w:rsidRDefault="00213BC9" w:rsidP="00EA3ADB">
      <w:pPr>
        <w:pStyle w:val="Zkladntextodsazen"/>
        <w:ind w:firstLine="426"/>
        <w:rPr>
          <w:sz w:val="22"/>
          <w:szCs w:val="22"/>
        </w:rPr>
      </w:pPr>
    </w:p>
    <w:p w:rsidR="004D2540" w:rsidRDefault="00FD038A" w:rsidP="00EA3ADB">
      <w:pPr>
        <w:pStyle w:val="Zkladntextodsazen"/>
        <w:ind w:firstLine="426"/>
        <w:rPr>
          <w:sz w:val="22"/>
          <w:szCs w:val="22"/>
        </w:rPr>
      </w:pPr>
      <w:r>
        <w:rPr>
          <w:sz w:val="22"/>
          <w:szCs w:val="22"/>
        </w:rPr>
        <w:t xml:space="preserve">Z grafů je </w:t>
      </w:r>
      <w:r w:rsidR="004D2540">
        <w:rPr>
          <w:sz w:val="22"/>
          <w:szCs w:val="22"/>
        </w:rPr>
        <w:t>patrný obdobný vývoj, jaký byl sledován v minulosti. Rychlý pokles znečištění je patrný v počátcích simulace do 2 let od počátku. Poté je již pokles (efektivita) pozvolná, což souvisí s nízkými zbytkovými koncentracemi v kolektoru. Oproti minulému vypracování se jedná o roční pokles křivek.</w:t>
      </w:r>
    </w:p>
    <w:p w:rsidR="00260F0D" w:rsidRDefault="00260F0D" w:rsidP="00EA3ADB">
      <w:pPr>
        <w:pStyle w:val="Zkladntextodsazen"/>
        <w:ind w:firstLine="426"/>
        <w:rPr>
          <w:sz w:val="22"/>
          <w:szCs w:val="22"/>
        </w:rPr>
      </w:pPr>
    </w:p>
    <w:p w:rsidR="008051E5" w:rsidRPr="009531CC" w:rsidRDefault="00723502" w:rsidP="004D2540">
      <w:pPr>
        <w:pStyle w:val="Nadpis3"/>
        <w:numPr>
          <w:ilvl w:val="0"/>
          <w:numId w:val="0"/>
        </w:numPr>
      </w:pPr>
      <w:bookmarkStart w:id="67" w:name="_Toc176000239"/>
      <w:bookmarkStart w:id="68" w:name="_Toc187653507"/>
      <w:bookmarkStart w:id="69" w:name="_Toc405386082"/>
      <w:bookmarkStart w:id="70" w:name="_Toc405386163"/>
      <w:r>
        <w:t>5</w:t>
      </w:r>
      <w:r w:rsidR="009F577D" w:rsidRPr="009531CC">
        <w:t>.2.</w:t>
      </w:r>
      <w:r w:rsidR="002802C2">
        <w:t>3</w:t>
      </w:r>
      <w:r w:rsidR="006620D9" w:rsidRPr="009531CC">
        <w:tab/>
      </w:r>
      <w:r w:rsidR="008051E5" w:rsidRPr="009531CC">
        <w:t xml:space="preserve">Bilance </w:t>
      </w:r>
      <w:r w:rsidR="00A25934">
        <w:t>PCE</w:t>
      </w:r>
      <w:r w:rsidR="008051E5" w:rsidRPr="009531CC">
        <w:t xml:space="preserve"> na lokalitě</w:t>
      </w:r>
      <w:bookmarkEnd w:id="67"/>
      <w:bookmarkEnd w:id="68"/>
      <w:bookmarkEnd w:id="69"/>
      <w:bookmarkEnd w:id="70"/>
    </w:p>
    <w:p w:rsidR="008051E5" w:rsidRPr="009531CC" w:rsidRDefault="00723502" w:rsidP="004D2540">
      <w:pPr>
        <w:pStyle w:val="Nadpis4"/>
        <w:numPr>
          <w:ilvl w:val="0"/>
          <w:numId w:val="0"/>
        </w:numPr>
      </w:pPr>
      <w:bookmarkStart w:id="71" w:name="_Toc187653508"/>
      <w:bookmarkStart w:id="72" w:name="_Toc176000241"/>
      <w:bookmarkStart w:id="73" w:name="_Toc405386164"/>
      <w:r>
        <w:t>5</w:t>
      </w:r>
      <w:r w:rsidR="000A3AA9" w:rsidRPr="009531CC">
        <w:t>.2.</w:t>
      </w:r>
      <w:r w:rsidR="002802C2">
        <w:t>3</w:t>
      </w:r>
      <w:r w:rsidR="00BC35B3" w:rsidRPr="009531CC">
        <w:t>.</w:t>
      </w:r>
      <w:r w:rsidR="006620D9" w:rsidRPr="009531CC">
        <w:t>1</w:t>
      </w:r>
      <w:r w:rsidR="006620D9" w:rsidRPr="009531CC">
        <w:tab/>
      </w:r>
      <w:r w:rsidR="008051E5" w:rsidRPr="009531CC">
        <w:t xml:space="preserve">Aktuální </w:t>
      </w:r>
      <w:r w:rsidR="00997680">
        <w:t xml:space="preserve">a výhledová </w:t>
      </w:r>
      <w:r w:rsidR="008051E5" w:rsidRPr="009531CC">
        <w:t xml:space="preserve">bilance hmoty </w:t>
      </w:r>
      <w:r w:rsidR="00A25934">
        <w:t>PCE</w:t>
      </w:r>
      <w:r w:rsidR="008051E5" w:rsidRPr="009531CC">
        <w:t xml:space="preserve"> v saturované zóně</w:t>
      </w:r>
      <w:bookmarkEnd w:id="71"/>
      <w:bookmarkEnd w:id="72"/>
      <w:bookmarkEnd w:id="73"/>
    </w:p>
    <w:p w:rsidR="008051E5" w:rsidRDefault="00D01039" w:rsidP="00B41F74">
      <w:pPr>
        <w:pStyle w:val="Zkladntextodsazen"/>
        <w:ind w:firstLine="357"/>
        <w:rPr>
          <w:sz w:val="22"/>
          <w:szCs w:val="22"/>
        </w:rPr>
      </w:pPr>
      <w:r w:rsidRPr="009531CC">
        <w:rPr>
          <w:sz w:val="22"/>
          <w:szCs w:val="22"/>
        </w:rPr>
        <w:t xml:space="preserve">Bilance </w:t>
      </w:r>
      <w:r w:rsidRPr="00CE4EB3">
        <w:rPr>
          <w:sz w:val="22"/>
          <w:szCs w:val="22"/>
        </w:rPr>
        <w:t xml:space="preserve">aktuálního stavu </w:t>
      </w:r>
      <w:r w:rsidR="003D3F99" w:rsidRPr="00CE4EB3">
        <w:rPr>
          <w:sz w:val="22"/>
          <w:szCs w:val="22"/>
        </w:rPr>
        <w:t>PCE</w:t>
      </w:r>
      <w:r w:rsidRPr="00CE4EB3">
        <w:rPr>
          <w:sz w:val="22"/>
          <w:szCs w:val="22"/>
        </w:rPr>
        <w:t xml:space="preserve"> na lokalitě byla sestavena na podkladě modelových koncentrací </w:t>
      </w:r>
      <w:r w:rsidR="00B67080" w:rsidRPr="00CE4EB3">
        <w:rPr>
          <w:sz w:val="22"/>
          <w:szCs w:val="22"/>
        </w:rPr>
        <w:t>v</w:t>
      </w:r>
      <w:r w:rsidR="00573FCB" w:rsidRPr="00CE4EB3">
        <w:rPr>
          <w:sz w:val="22"/>
          <w:szCs w:val="22"/>
        </w:rPr>
        <w:t> </w:t>
      </w:r>
      <w:r w:rsidR="00B67080" w:rsidRPr="00CE4EB3">
        <w:rPr>
          <w:sz w:val="22"/>
          <w:szCs w:val="22"/>
        </w:rPr>
        <w:t xml:space="preserve">jednotlivých  modelových buňkách </w:t>
      </w:r>
      <w:r w:rsidRPr="00CE4EB3">
        <w:rPr>
          <w:sz w:val="22"/>
          <w:szCs w:val="22"/>
        </w:rPr>
        <w:t>a</w:t>
      </w:r>
      <w:r w:rsidR="00B67080" w:rsidRPr="00CE4EB3">
        <w:rPr>
          <w:sz w:val="22"/>
          <w:szCs w:val="22"/>
        </w:rPr>
        <w:t xml:space="preserve"> mocnosti zvodnění v daném místě</w:t>
      </w:r>
      <w:r w:rsidR="00291C86" w:rsidRPr="00CE4EB3">
        <w:rPr>
          <w:sz w:val="22"/>
          <w:szCs w:val="22"/>
        </w:rPr>
        <w:t xml:space="preserve">. </w:t>
      </w:r>
      <w:r w:rsidR="008051E5" w:rsidRPr="000E7DCF">
        <w:rPr>
          <w:sz w:val="22"/>
          <w:szCs w:val="22"/>
        </w:rPr>
        <w:t xml:space="preserve">Rozložení modelového množství </w:t>
      </w:r>
      <w:r w:rsidR="003D3F99" w:rsidRPr="000E7DCF">
        <w:rPr>
          <w:sz w:val="22"/>
          <w:szCs w:val="22"/>
        </w:rPr>
        <w:t>PCE</w:t>
      </w:r>
      <w:r w:rsidR="008051E5" w:rsidRPr="000E7DCF">
        <w:rPr>
          <w:sz w:val="22"/>
          <w:szCs w:val="22"/>
        </w:rPr>
        <w:t xml:space="preserve"> </w:t>
      </w:r>
      <w:r w:rsidR="007139A5" w:rsidRPr="000E7DCF">
        <w:rPr>
          <w:sz w:val="22"/>
          <w:szCs w:val="22"/>
        </w:rPr>
        <w:t xml:space="preserve">pro </w:t>
      </w:r>
      <w:r w:rsidR="002C446A" w:rsidRPr="000E7DCF">
        <w:rPr>
          <w:sz w:val="22"/>
          <w:szCs w:val="22"/>
        </w:rPr>
        <w:t>k závěru roku 2016</w:t>
      </w:r>
      <w:r w:rsidR="007139A5" w:rsidRPr="000E7DCF">
        <w:rPr>
          <w:sz w:val="22"/>
          <w:szCs w:val="22"/>
        </w:rPr>
        <w:t xml:space="preserve"> </w:t>
      </w:r>
      <w:r w:rsidR="00F824D2" w:rsidRPr="000E7DCF">
        <w:rPr>
          <w:sz w:val="22"/>
          <w:szCs w:val="22"/>
        </w:rPr>
        <w:t xml:space="preserve">je uvedeno v tabulce </w:t>
      </w:r>
      <w:r w:rsidR="00B41F74" w:rsidRPr="000E7DCF">
        <w:rPr>
          <w:sz w:val="22"/>
          <w:szCs w:val="22"/>
        </w:rPr>
        <w:t xml:space="preserve">č. </w:t>
      </w:r>
      <w:r w:rsidR="005402E1" w:rsidRPr="000E7DCF">
        <w:rPr>
          <w:sz w:val="22"/>
          <w:szCs w:val="22"/>
        </w:rPr>
        <w:t>7</w:t>
      </w:r>
      <w:r w:rsidR="008051E5" w:rsidRPr="000E7DCF">
        <w:rPr>
          <w:sz w:val="22"/>
          <w:szCs w:val="22"/>
        </w:rPr>
        <w:t>.</w:t>
      </w:r>
    </w:p>
    <w:p w:rsidR="005402E1" w:rsidRPr="009531CC" w:rsidRDefault="005402E1" w:rsidP="00B41F74">
      <w:pPr>
        <w:pStyle w:val="Zkladntextodsazen"/>
        <w:ind w:firstLine="357"/>
        <w:rPr>
          <w:sz w:val="22"/>
          <w:szCs w:val="22"/>
        </w:rPr>
      </w:pPr>
    </w:p>
    <w:p w:rsidR="008051E5" w:rsidRPr="000E7DCF" w:rsidRDefault="00F824D2" w:rsidP="005402E1">
      <w:pPr>
        <w:pStyle w:val="Zkladntextodsazen"/>
        <w:ind w:firstLine="0"/>
        <w:jc w:val="left"/>
        <w:rPr>
          <w:i/>
          <w:iCs/>
          <w:sz w:val="20"/>
          <w:u w:val="single"/>
        </w:rPr>
      </w:pPr>
      <w:r w:rsidRPr="000E7DCF">
        <w:rPr>
          <w:i/>
          <w:iCs/>
          <w:sz w:val="20"/>
          <w:u w:val="single"/>
        </w:rPr>
        <w:t>Tab.</w:t>
      </w:r>
      <w:r w:rsidR="00B41F74" w:rsidRPr="000E7DCF">
        <w:rPr>
          <w:i/>
          <w:iCs/>
          <w:sz w:val="20"/>
          <w:u w:val="single"/>
        </w:rPr>
        <w:t xml:space="preserve"> č. </w:t>
      </w:r>
      <w:r w:rsidR="005402E1" w:rsidRPr="000E7DCF">
        <w:rPr>
          <w:i/>
          <w:iCs/>
          <w:sz w:val="20"/>
          <w:u w:val="single"/>
        </w:rPr>
        <w:t>7</w:t>
      </w:r>
      <w:r w:rsidR="00B41F74" w:rsidRPr="000E7DCF">
        <w:rPr>
          <w:i/>
          <w:iCs/>
          <w:sz w:val="20"/>
          <w:u w:val="single"/>
        </w:rPr>
        <w:t xml:space="preserve">:     </w:t>
      </w:r>
      <w:r w:rsidR="008051E5" w:rsidRPr="000E7DCF">
        <w:rPr>
          <w:i/>
          <w:iCs/>
          <w:sz w:val="20"/>
          <w:u w:val="single"/>
        </w:rPr>
        <w:t xml:space="preserve">Bilanční modelové množství </w:t>
      </w:r>
      <w:r w:rsidR="003D3F99" w:rsidRPr="000E7DCF">
        <w:rPr>
          <w:i/>
          <w:iCs/>
          <w:sz w:val="20"/>
          <w:u w:val="single"/>
        </w:rPr>
        <w:t>PCE</w:t>
      </w:r>
      <w:r w:rsidR="00467CD8" w:rsidRPr="000E7DCF">
        <w:rPr>
          <w:i/>
          <w:iCs/>
          <w:sz w:val="20"/>
          <w:u w:val="single"/>
        </w:rPr>
        <w:t xml:space="preserve"> v zájmovém prostoru</w:t>
      </w:r>
      <w:r w:rsidR="00FA68FB" w:rsidRPr="000E7DCF">
        <w:rPr>
          <w:i/>
          <w:iCs/>
          <w:sz w:val="20"/>
          <w:u w:val="single"/>
        </w:rPr>
        <w:t xml:space="preserve"> </w:t>
      </w:r>
      <w:r w:rsidR="00D5562E" w:rsidRPr="000E7DCF">
        <w:rPr>
          <w:i/>
          <w:iCs/>
          <w:sz w:val="20"/>
          <w:u w:val="single"/>
        </w:rPr>
        <w:t>v závěru  roku 2016</w:t>
      </w:r>
    </w:p>
    <w:tbl>
      <w:tblPr>
        <w:tblpPr w:leftFromText="141" w:rightFromText="141" w:vertAnchor="text" w:horzAnchor="margin" w:tblpXSpec="center" w:tblpY="152"/>
        <w:tblW w:w="4875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0"/>
        <w:gridCol w:w="2381"/>
        <w:gridCol w:w="2380"/>
        <w:gridCol w:w="2143"/>
      </w:tblGrid>
      <w:tr w:rsidR="004C1AE7" w:rsidRPr="000E7DCF" w:rsidTr="00E830E6">
        <w:trPr>
          <w:trHeight w:val="170"/>
          <w:jc w:val="center"/>
        </w:trPr>
        <w:tc>
          <w:tcPr>
            <w:tcW w:w="2380" w:type="dxa"/>
            <w:shd w:val="pct15" w:color="auto" w:fill="auto"/>
            <w:noWrap/>
            <w:vAlign w:val="center"/>
          </w:tcPr>
          <w:p w:rsidR="004C1AE7" w:rsidRPr="000E7DCF" w:rsidRDefault="004C1AE7" w:rsidP="00865E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4" w:type="dxa"/>
            <w:gridSpan w:val="3"/>
            <w:shd w:val="pct15" w:color="auto" w:fill="auto"/>
            <w:noWrap/>
            <w:vAlign w:val="center"/>
          </w:tcPr>
          <w:p w:rsidR="004C1AE7" w:rsidRPr="000E7DCF" w:rsidRDefault="004C1AE7" w:rsidP="005402E1">
            <w:pPr>
              <w:jc w:val="center"/>
              <w:rPr>
                <w:sz w:val="20"/>
                <w:szCs w:val="20"/>
              </w:rPr>
            </w:pPr>
            <w:r w:rsidRPr="000E7DCF">
              <w:rPr>
                <w:sz w:val="20"/>
                <w:szCs w:val="20"/>
              </w:rPr>
              <w:t xml:space="preserve">množství </w:t>
            </w:r>
            <w:r w:rsidR="005402E1" w:rsidRPr="000E7DCF">
              <w:rPr>
                <w:sz w:val="20"/>
                <w:szCs w:val="20"/>
              </w:rPr>
              <w:t>PCE</w:t>
            </w:r>
            <w:r w:rsidRPr="000E7DCF">
              <w:rPr>
                <w:sz w:val="20"/>
                <w:szCs w:val="20"/>
              </w:rPr>
              <w:t xml:space="preserve"> [kg]</w:t>
            </w:r>
          </w:p>
        </w:tc>
      </w:tr>
      <w:tr w:rsidR="00F518DC" w:rsidRPr="000E7DCF" w:rsidTr="00E830E6">
        <w:trPr>
          <w:trHeight w:val="170"/>
          <w:jc w:val="center"/>
        </w:trPr>
        <w:tc>
          <w:tcPr>
            <w:tcW w:w="2380" w:type="dxa"/>
            <w:shd w:val="clear" w:color="auto" w:fill="D9D9D9"/>
            <w:noWrap/>
            <w:vAlign w:val="center"/>
          </w:tcPr>
          <w:p w:rsidR="00F518DC" w:rsidRPr="000E7DCF" w:rsidRDefault="00F518DC" w:rsidP="00865ED6">
            <w:pPr>
              <w:rPr>
                <w:sz w:val="20"/>
                <w:szCs w:val="20"/>
              </w:rPr>
            </w:pPr>
            <w:r w:rsidRPr="000E7DCF">
              <w:rPr>
                <w:sz w:val="20"/>
                <w:szCs w:val="20"/>
              </w:rPr>
              <w:t>Ukazatel</w:t>
            </w:r>
          </w:p>
        </w:tc>
        <w:tc>
          <w:tcPr>
            <w:tcW w:w="2381" w:type="dxa"/>
            <w:shd w:val="clear" w:color="auto" w:fill="D9D9D9"/>
            <w:noWrap/>
            <w:vAlign w:val="center"/>
          </w:tcPr>
          <w:p w:rsidR="00F518DC" w:rsidRPr="000E7DCF" w:rsidRDefault="005402E1" w:rsidP="00865ED6">
            <w:pPr>
              <w:jc w:val="center"/>
              <w:rPr>
                <w:sz w:val="20"/>
                <w:szCs w:val="20"/>
              </w:rPr>
            </w:pPr>
            <w:r w:rsidRPr="000E7DCF">
              <w:rPr>
                <w:sz w:val="20"/>
                <w:szCs w:val="20"/>
              </w:rPr>
              <w:t>PCE</w:t>
            </w:r>
            <w:r w:rsidR="00F518DC" w:rsidRPr="000E7DCF">
              <w:rPr>
                <w:sz w:val="20"/>
                <w:szCs w:val="20"/>
              </w:rPr>
              <w:t xml:space="preserve"> ve stavu </w:t>
            </w:r>
            <w:r w:rsidR="009F577D" w:rsidRPr="000E7DCF">
              <w:rPr>
                <w:sz w:val="20"/>
                <w:szCs w:val="20"/>
              </w:rPr>
              <w:t>sorpce</w:t>
            </w:r>
          </w:p>
        </w:tc>
        <w:tc>
          <w:tcPr>
            <w:tcW w:w="2380" w:type="dxa"/>
            <w:shd w:val="clear" w:color="auto" w:fill="D9D9D9"/>
          </w:tcPr>
          <w:p w:rsidR="00F518DC" w:rsidRPr="000E7DCF" w:rsidRDefault="005402E1" w:rsidP="00865ED6">
            <w:pPr>
              <w:jc w:val="center"/>
              <w:rPr>
                <w:sz w:val="20"/>
                <w:szCs w:val="20"/>
              </w:rPr>
            </w:pPr>
            <w:r w:rsidRPr="000E7DCF">
              <w:rPr>
                <w:sz w:val="20"/>
                <w:szCs w:val="20"/>
              </w:rPr>
              <w:t>PCE</w:t>
            </w:r>
            <w:r w:rsidR="00F518DC" w:rsidRPr="000E7DCF">
              <w:rPr>
                <w:sz w:val="20"/>
                <w:szCs w:val="20"/>
              </w:rPr>
              <w:t xml:space="preserve"> rozpuštěné</w:t>
            </w:r>
          </w:p>
        </w:tc>
        <w:tc>
          <w:tcPr>
            <w:tcW w:w="2143" w:type="dxa"/>
            <w:shd w:val="clear" w:color="auto" w:fill="D9D9D9"/>
          </w:tcPr>
          <w:p w:rsidR="00F518DC" w:rsidRPr="000E7DCF" w:rsidRDefault="00F518DC" w:rsidP="00865ED6">
            <w:pPr>
              <w:jc w:val="center"/>
              <w:rPr>
                <w:sz w:val="20"/>
                <w:szCs w:val="20"/>
              </w:rPr>
            </w:pPr>
            <w:r w:rsidRPr="000E7DCF">
              <w:rPr>
                <w:sz w:val="20"/>
                <w:szCs w:val="20"/>
              </w:rPr>
              <w:t>celkem</w:t>
            </w:r>
          </w:p>
        </w:tc>
      </w:tr>
      <w:tr w:rsidR="00F518DC" w:rsidRPr="000E7DCF" w:rsidTr="00E830E6">
        <w:trPr>
          <w:trHeight w:val="170"/>
          <w:jc w:val="center"/>
        </w:trPr>
        <w:tc>
          <w:tcPr>
            <w:tcW w:w="2380" w:type="dxa"/>
            <w:noWrap/>
            <w:vAlign w:val="center"/>
          </w:tcPr>
          <w:p w:rsidR="00F518DC" w:rsidRPr="000E7DCF" w:rsidRDefault="00F518DC" w:rsidP="00865ED6">
            <w:pPr>
              <w:rPr>
                <w:sz w:val="20"/>
                <w:szCs w:val="20"/>
              </w:rPr>
            </w:pPr>
            <w:r w:rsidRPr="000E7DCF">
              <w:rPr>
                <w:sz w:val="20"/>
                <w:szCs w:val="20"/>
              </w:rPr>
              <w:t>PCE</w:t>
            </w:r>
          </w:p>
        </w:tc>
        <w:tc>
          <w:tcPr>
            <w:tcW w:w="2381" w:type="dxa"/>
            <w:noWrap/>
            <w:vAlign w:val="center"/>
          </w:tcPr>
          <w:p w:rsidR="00F518DC" w:rsidRPr="000E7DCF" w:rsidRDefault="00CE4EB3" w:rsidP="00FA68FB">
            <w:pPr>
              <w:jc w:val="center"/>
              <w:rPr>
                <w:sz w:val="20"/>
                <w:szCs w:val="20"/>
              </w:rPr>
            </w:pPr>
            <w:r w:rsidRPr="000E7DCF">
              <w:rPr>
                <w:sz w:val="20"/>
                <w:szCs w:val="20"/>
              </w:rPr>
              <w:t>4</w:t>
            </w:r>
            <w:r w:rsidR="008B7E8C" w:rsidRPr="000E7DCF">
              <w:rPr>
                <w:sz w:val="20"/>
                <w:szCs w:val="20"/>
              </w:rPr>
              <w:t>21</w:t>
            </w:r>
          </w:p>
        </w:tc>
        <w:tc>
          <w:tcPr>
            <w:tcW w:w="2380" w:type="dxa"/>
            <w:vAlign w:val="center"/>
          </w:tcPr>
          <w:p w:rsidR="00F518DC" w:rsidRPr="000E7DCF" w:rsidRDefault="008B7E8C" w:rsidP="003D3F99">
            <w:pPr>
              <w:jc w:val="center"/>
              <w:rPr>
                <w:sz w:val="20"/>
                <w:szCs w:val="20"/>
              </w:rPr>
            </w:pPr>
            <w:r w:rsidRPr="000E7DCF">
              <w:rPr>
                <w:sz w:val="20"/>
                <w:szCs w:val="20"/>
              </w:rPr>
              <w:t>59</w:t>
            </w:r>
          </w:p>
        </w:tc>
        <w:tc>
          <w:tcPr>
            <w:tcW w:w="2143" w:type="dxa"/>
            <w:vAlign w:val="center"/>
          </w:tcPr>
          <w:p w:rsidR="00F518DC" w:rsidRPr="000E7DCF" w:rsidRDefault="008B7E8C" w:rsidP="003D3F99">
            <w:pPr>
              <w:jc w:val="center"/>
              <w:rPr>
                <w:sz w:val="20"/>
                <w:szCs w:val="20"/>
              </w:rPr>
            </w:pPr>
            <w:r w:rsidRPr="000E7DCF">
              <w:rPr>
                <w:sz w:val="20"/>
                <w:szCs w:val="20"/>
              </w:rPr>
              <w:t>480</w:t>
            </w:r>
          </w:p>
        </w:tc>
      </w:tr>
    </w:tbl>
    <w:p w:rsidR="00997680" w:rsidRPr="000E7DCF" w:rsidRDefault="00997680" w:rsidP="00997680">
      <w:pPr>
        <w:pStyle w:val="Zkladntextodsazen"/>
        <w:ind w:firstLine="426"/>
        <w:rPr>
          <w:sz w:val="22"/>
          <w:szCs w:val="22"/>
        </w:rPr>
      </w:pPr>
    </w:p>
    <w:p w:rsidR="00997680" w:rsidRPr="000E7DCF" w:rsidRDefault="00CE4EB3" w:rsidP="00997680">
      <w:pPr>
        <w:pStyle w:val="Zkladntextodsazen"/>
        <w:ind w:firstLine="426"/>
        <w:rPr>
          <w:sz w:val="22"/>
          <w:szCs w:val="22"/>
        </w:rPr>
      </w:pPr>
      <w:r w:rsidRPr="000E7DCF">
        <w:rPr>
          <w:sz w:val="22"/>
          <w:szCs w:val="22"/>
        </w:rPr>
        <w:t>Vzhledem k provedené sanaci nesaturované zóny v letech 2013/2014 již není předpoklad na dotaci ClU z nesaturované zóny.</w:t>
      </w:r>
      <w:r w:rsidR="00997680" w:rsidRPr="000E7DCF">
        <w:rPr>
          <w:sz w:val="22"/>
          <w:szCs w:val="22"/>
        </w:rPr>
        <w:t xml:space="preserve"> Výhled vývoje bilance PCE v saturované zóně v rozsahu let 201</w:t>
      </w:r>
      <w:r w:rsidRPr="000E7DCF">
        <w:rPr>
          <w:sz w:val="22"/>
          <w:szCs w:val="22"/>
        </w:rPr>
        <w:t>5</w:t>
      </w:r>
      <w:r w:rsidR="00997680" w:rsidRPr="000E7DCF">
        <w:rPr>
          <w:sz w:val="22"/>
          <w:szCs w:val="22"/>
        </w:rPr>
        <w:t>–202</w:t>
      </w:r>
      <w:r w:rsidRPr="000E7DCF">
        <w:rPr>
          <w:sz w:val="22"/>
          <w:szCs w:val="22"/>
        </w:rPr>
        <w:t>5</w:t>
      </w:r>
      <w:r w:rsidR="00997680" w:rsidRPr="000E7DCF">
        <w:rPr>
          <w:sz w:val="22"/>
          <w:szCs w:val="22"/>
        </w:rPr>
        <w:t xml:space="preserve"> poskytuje následující tabulka</w:t>
      </w:r>
      <w:r w:rsidR="00B20B96" w:rsidRPr="000E7DCF">
        <w:rPr>
          <w:sz w:val="22"/>
          <w:szCs w:val="22"/>
        </w:rPr>
        <w:t xml:space="preserve"> č. 8</w:t>
      </w:r>
      <w:r w:rsidR="00997680" w:rsidRPr="000E7DCF">
        <w:rPr>
          <w:sz w:val="22"/>
          <w:szCs w:val="22"/>
        </w:rPr>
        <w:t xml:space="preserve">. Vývoj bilance perchlorethylenu v turonském kolektoru v časovém horizontu 10 let vykazuje téměř lineární pokles dle rovnice: y = </w:t>
      </w:r>
      <w:r w:rsidR="00672CA3" w:rsidRPr="000E7DCF">
        <w:rPr>
          <w:sz w:val="22"/>
          <w:szCs w:val="22"/>
        </w:rPr>
        <w:t>−</w:t>
      </w:r>
      <w:r w:rsidR="00997680" w:rsidRPr="000E7DCF">
        <w:rPr>
          <w:sz w:val="22"/>
          <w:szCs w:val="22"/>
        </w:rPr>
        <w:t>21,7x + 536 s hodnotou spolehlivosti R</w:t>
      </w:r>
      <w:r w:rsidR="00997680" w:rsidRPr="000E7DCF">
        <w:rPr>
          <w:sz w:val="22"/>
          <w:szCs w:val="22"/>
          <w:vertAlign w:val="superscript"/>
        </w:rPr>
        <w:t>2</w:t>
      </w:r>
      <w:r w:rsidR="00997680" w:rsidRPr="000E7DCF">
        <w:rPr>
          <w:sz w:val="22"/>
          <w:szCs w:val="22"/>
        </w:rPr>
        <w:t xml:space="preserve"> = 0,99.</w:t>
      </w:r>
    </w:p>
    <w:p w:rsidR="00997680" w:rsidRPr="000E7DCF" w:rsidRDefault="00997680" w:rsidP="00997680">
      <w:pPr>
        <w:pStyle w:val="Zkladntextodsazen"/>
        <w:ind w:firstLine="426"/>
        <w:rPr>
          <w:sz w:val="22"/>
          <w:szCs w:val="22"/>
        </w:rPr>
      </w:pPr>
      <w:r w:rsidRPr="000E7DCF">
        <w:rPr>
          <w:sz w:val="22"/>
          <w:szCs w:val="22"/>
        </w:rPr>
        <w:t xml:space="preserve"> </w:t>
      </w:r>
    </w:p>
    <w:p w:rsidR="00997680" w:rsidRPr="000E7DCF" w:rsidRDefault="00997680" w:rsidP="00997680">
      <w:pPr>
        <w:pStyle w:val="Zkladntextodsazen"/>
        <w:keepNext/>
        <w:spacing w:after="120"/>
        <w:ind w:firstLine="0"/>
        <w:jc w:val="left"/>
        <w:rPr>
          <w:i/>
          <w:iCs/>
          <w:sz w:val="20"/>
          <w:u w:val="single"/>
        </w:rPr>
      </w:pPr>
      <w:r w:rsidRPr="000E7DCF">
        <w:rPr>
          <w:i/>
          <w:iCs/>
          <w:sz w:val="20"/>
          <w:u w:val="single"/>
        </w:rPr>
        <w:t xml:space="preserve">Tab. č. </w:t>
      </w:r>
      <w:r w:rsidR="00B20B96" w:rsidRPr="000E7DCF">
        <w:rPr>
          <w:i/>
          <w:iCs/>
          <w:sz w:val="20"/>
          <w:u w:val="single"/>
        </w:rPr>
        <w:t>8</w:t>
      </w:r>
      <w:r w:rsidRPr="000E7DCF">
        <w:rPr>
          <w:i/>
          <w:iCs/>
          <w:sz w:val="20"/>
          <w:u w:val="single"/>
        </w:rPr>
        <w:t>:     Simulace bilance PCE z modelového řešení</w:t>
      </w:r>
    </w:p>
    <w:tbl>
      <w:tblPr>
        <w:tblW w:w="640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2"/>
        <w:gridCol w:w="960"/>
        <w:gridCol w:w="960"/>
        <w:gridCol w:w="960"/>
        <w:gridCol w:w="960"/>
      </w:tblGrid>
      <w:tr w:rsidR="008B7E8C" w:rsidRPr="000E7DCF" w:rsidTr="008B7E8C">
        <w:trPr>
          <w:trHeight w:val="300"/>
          <w:tblHeader/>
        </w:trPr>
        <w:tc>
          <w:tcPr>
            <w:tcW w:w="25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7E8C" w:rsidRPr="000E7DCF" w:rsidRDefault="008B7E8C" w:rsidP="000A1DE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0E7DCF">
              <w:rPr>
                <w:i/>
                <w:iCs/>
                <w:color w:val="000000"/>
                <w:sz w:val="20"/>
                <w:szCs w:val="20"/>
              </w:rPr>
              <w:t>roky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7E8C" w:rsidRPr="000E7DCF" w:rsidRDefault="008B7E8C" w:rsidP="000A1DE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0E7DCF">
              <w:rPr>
                <w:i/>
                <w:i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7E8C" w:rsidRPr="000E7DCF" w:rsidRDefault="008B7E8C" w:rsidP="000A1DE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0E7DCF">
              <w:rPr>
                <w:i/>
                <w:iCs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7E8C" w:rsidRPr="000E7DCF" w:rsidRDefault="008B7E8C" w:rsidP="000A1DE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0E7DCF">
              <w:rPr>
                <w:i/>
                <w:iCs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7E8C" w:rsidRPr="000E7DCF" w:rsidRDefault="008B7E8C" w:rsidP="000A1DE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0E7DCF">
              <w:rPr>
                <w:i/>
                <w:iCs/>
                <w:color w:val="000000"/>
                <w:sz w:val="20"/>
                <w:szCs w:val="20"/>
              </w:rPr>
              <w:t>2026</w:t>
            </w:r>
          </w:p>
        </w:tc>
      </w:tr>
      <w:tr w:rsidR="008B7E8C" w:rsidRPr="000E7DCF" w:rsidTr="008B7E8C">
        <w:trPr>
          <w:trHeight w:val="300"/>
          <w:tblHeader/>
        </w:trPr>
        <w:tc>
          <w:tcPr>
            <w:tcW w:w="2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7E8C" w:rsidRPr="000E7DCF" w:rsidRDefault="008B7E8C" w:rsidP="000A1DE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7DCF">
              <w:rPr>
                <w:b/>
                <w:bCs/>
                <w:color w:val="000000"/>
                <w:sz w:val="20"/>
                <w:szCs w:val="20"/>
              </w:rPr>
              <w:t>CELKEM</w:t>
            </w:r>
            <w:r w:rsidRPr="000E7DCF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E7DCF">
              <w:rPr>
                <w:bCs/>
                <w:color w:val="000000"/>
                <w:sz w:val="20"/>
                <w:szCs w:val="20"/>
                <w:lang w:val="en-US"/>
              </w:rPr>
              <w:t>[kg]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8C" w:rsidRPr="000E7DCF" w:rsidRDefault="008B7E8C" w:rsidP="0080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7DCF">
              <w:rPr>
                <w:b/>
                <w:bCs/>
                <w:color w:val="000000"/>
                <w:sz w:val="20"/>
                <w:szCs w:val="20"/>
              </w:rPr>
              <w:t>480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8C" w:rsidRPr="000E7DCF" w:rsidRDefault="008B7E8C" w:rsidP="0080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7DCF">
              <w:rPr>
                <w:b/>
                <w:bCs/>
                <w:color w:val="000000"/>
                <w:sz w:val="20"/>
                <w:szCs w:val="20"/>
              </w:rPr>
              <w:t>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8C" w:rsidRPr="000E7DCF" w:rsidRDefault="008B7E8C" w:rsidP="0080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7DCF">
              <w:rPr>
                <w:b/>
                <w:bCs/>
                <w:color w:val="000000"/>
                <w:sz w:val="20"/>
                <w:szCs w:val="20"/>
              </w:rPr>
              <w:t>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7E8C" w:rsidRPr="000E7DCF" w:rsidRDefault="00063FE1" w:rsidP="008011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E7DCF">
              <w:rPr>
                <w:b/>
                <w:bCs/>
                <w:color w:val="000000"/>
                <w:sz w:val="20"/>
                <w:szCs w:val="20"/>
              </w:rPr>
              <w:t>32</w:t>
            </w:r>
            <w:r w:rsidR="00D5562E" w:rsidRPr="000E7DCF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8B7E8C" w:rsidRPr="000E7DCF" w:rsidTr="008B7E8C">
        <w:trPr>
          <w:trHeight w:val="300"/>
        </w:trPr>
        <w:tc>
          <w:tcPr>
            <w:tcW w:w="2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7E8C" w:rsidRPr="000E7DCF" w:rsidRDefault="008B7E8C" w:rsidP="000A1DE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0E7DCF">
              <w:rPr>
                <w:color w:val="000000"/>
                <w:sz w:val="20"/>
                <w:szCs w:val="20"/>
              </w:rPr>
              <w:t xml:space="preserve">PCE - rozpouštěné </w:t>
            </w:r>
            <w:r w:rsidRPr="000E7DCF">
              <w:rPr>
                <w:color w:val="000000"/>
                <w:sz w:val="20"/>
                <w:szCs w:val="20"/>
                <w:lang w:val="en-US"/>
              </w:rPr>
              <w:t>[kg]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8C" w:rsidRPr="000E7DCF" w:rsidRDefault="008B7E8C" w:rsidP="00801103">
            <w:pPr>
              <w:jc w:val="center"/>
              <w:rPr>
                <w:color w:val="000000"/>
                <w:sz w:val="20"/>
                <w:szCs w:val="20"/>
              </w:rPr>
            </w:pPr>
            <w:r w:rsidRPr="000E7DCF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8C" w:rsidRPr="000E7DCF" w:rsidRDefault="008B7E8C" w:rsidP="00801103">
            <w:pPr>
              <w:jc w:val="center"/>
              <w:rPr>
                <w:color w:val="000000"/>
                <w:sz w:val="20"/>
                <w:szCs w:val="20"/>
              </w:rPr>
            </w:pPr>
            <w:r w:rsidRPr="000E7DCF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8C" w:rsidRPr="000E7DCF" w:rsidRDefault="008B7E8C" w:rsidP="00801103">
            <w:pPr>
              <w:jc w:val="center"/>
              <w:rPr>
                <w:color w:val="000000"/>
                <w:sz w:val="20"/>
                <w:szCs w:val="20"/>
              </w:rPr>
            </w:pPr>
            <w:r w:rsidRPr="000E7DCF">
              <w:rPr>
                <w:color w:val="000000"/>
                <w:sz w:val="20"/>
                <w:szCs w:val="20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B7E8C" w:rsidRPr="000E7DCF" w:rsidRDefault="00063FE1" w:rsidP="00801103">
            <w:pPr>
              <w:jc w:val="center"/>
              <w:rPr>
                <w:color w:val="000000"/>
                <w:sz w:val="20"/>
                <w:szCs w:val="20"/>
              </w:rPr>
            </w:pPr>
            <w:r w:rsidRPr="000E7DCF">
              <w:rPr>
                <w:color w:val="000000"/>
                <w:sz w:val="20"/>
                <w:szCs w:val="20"/>
              </w:rPr>
              <w:t>3</w:t>
            </w:r>
            <w:r w:rsidR="008B7E8C" w:rsidRPr="000E7DCF">
              <w:rPr>
                <w:color w:val="000000"/>
                <w:sz w:val="20"/>
                <w:szCs w:val="20"/>
              </w:rPr>
              <w:t>6</w:t>
            </w:r>
          </w:p>
        </w:tc>
      </w:tr>
      <w:tr w:rsidR="008B7E8C" w:rsidRPr="00AB22D6" w:rsidTr="008B7E8C">
        <w:trPr>
          <w:trHeight w:val="315"/>
        </w:trPr>
        <w:tc>
          <w:tcPr>
            <w:tcW w:w="2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B7E8C" w:rsidRPr="000E7DCF" w:rsidRDefault="008B7E8C" w:rsidP="000A1DE6">
            <w:pPr>
              <w:jc w:val="center"/>
              <w:rPr>
                <w:color w:val="000000"/>
                <w:sz w:val="20"/>
                <w:szCs w:val="20"/>
              </w:rPr>
            </w:pPr>
            <w:r w:rsidRPr="000E7DCF">
              <w:rPr>
                <w:color w:val="000000"/>
                <w:sz w:val="20"/>
                <w:szCs w:val="20"/>
              </w:rPr>
              <w:t xml:space="preserve">PCE - sorbované </w:t>
            </w:r>
            <w:r w:rsidRPr="000E7DCF">
              <w:rPr>
                <w:color w:val="000000"/>
                <w:sz w:val="20"/>
                <w:szCs w:val="20"/>
                <w:lang w:val="en-US"/>
              </w:rPr>
              <w:t>[kg]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E8C" w:rsidRPr="000E7DCF" w:rsidRDefault="008B7E8C" w:rsidP="00801103">
            <w:pPr>
              <w:jc w:val="center"/>
              <w:rPr>
                <w:color w:val="000000"/>
                <w:sz w:val="20"/>
                <w:szCs w:val="20"/>
              </w:rPr>
            </w:pPr>
            <w:r w:rsidRPr="000E7DCF">
              <w:rPr>
                <w:color w:val="000000"/>
                <w:sz w:val="20"/>
                <w:szCs w:val="20"/>
              </w:rPr>
              <w:t>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8C" w:rsidRPr="000E7DCF" w:rsidRDefault="008B7E8C" w:rsidP="00801103">
            <w:pPr>
              <w:jc w:val="center"/>
              <w:rPr>
                <w:color w:val="000000"/>
                <w:sz w:val="20"/>
                <w:szCs w:val="20"/>
              </w:rPr>
            </w:pPr>
            <w:r w:rsidRPr="000E7DCF">
              <w:rPr>
                <w:color w:val="000000"/>
                <w:sz w:val="20"/>
                <w:szCs w:val="20"/>
              </w:rPr>
              <w:t>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E8C" w:rsidRPr="000E7DCF" w:rsidRDefault="008B7E8C" w:rsidP="00801103">
            <w:pPr>
              <w:jc w:val="center"/>
              <w:rPr>
                <w:color w:val="000000"/>
                <w:sz w:val="20"/>
                <w:szCs w:val="20"/>
              </w:rPr>
            </w:pPr>
            <w:r w:rsidRPr="000E7DCF">
              <w:rPr>
                <w:color w:val="000000"/>
                <w:sz w:val="20"/>
                <w:szCs w:val="20"/>
              </w:rPr>
              <w:t>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B7E8C" w:rsidRPr="000E7DCF" w:rsidRDefault="00063FE1" w:rsidP="00801103">
            <w:pPr>
              <w:jc w:val="center"/>
              <w:rPr>
                <w:color w:val="000000"/>
                <w:sz w:val="20"/>
                <w:szCs w:val="20"/>
              </w:rPr>
            </w:pPr>
            <w:r w:rsidRPr="000E7DCF">
              <w:rPr>
                <w:color w:val="000000"/>
                <w:sz w:val="20"/>
                <w:szCs w:val="20"/>
              </w:rPr>
              <w:t>290</w:t>
            </w:r>
          </w:p>
        </w:tc>
      </w:tr>
    </w:tbl>
    <w:p w:rsidR="00997680" w:rsidRDefault="00997680" w:rsidP="00997680">
      <w:pPr>
        <w:pStyle w:val="Zkladntextodsazen"/>
        <w:ind w:firstLine="426"/>
      </w:pPr>
    </w:p>
    <w:p w:rsidR="008051E5" w:rsidRPr="005A1133" w:rsidRDefault="00723502" w:rsidP="005A1133">
      <w:pPr>
        <w:pStyle w:val="Nadpis1"/>
      </w:pPr>
      <w:bookmarkStart w:id="74" w:name="_Toc187653510"/>
      <w:bookmarkStart w:id="75" w:name="_Toc405386083"/>
      <w:bookmarkStart w:id="76" w:name="_Toc405386165"/>
      <w:r w:rsidRPr="005A1133">
        <w:t>6</w:t>
      </w:r>
      <w:r w:rsidR="001E3E21">
        <w:t>.</w:t>
      </w:r>
      <w:r w:rsidR="006620D9" w:rsidRPr="005A1133">
        <w:tab/>
      </w:r>
      <w:r w:rsidR="008051E5" w:rsidRPr="005A1133">
        <w:t>Omezení a nejistoty</w:t>
      </w:r>
      <w:r w:rsidR="00DE0BA6" w:rsidRPr="005A1133">
        <w:t xml:space="preserve"> </w:t>
      </w:r>
      <w:r w:rsidR="008051E5" w:rsidRPr="005A1133">
        <w:t>modelového řešení</w:t>
      </w:r>
      <w:bookmarkEnd w:id="74"/>
      <w:bookmarkEnd w:id="75"/>
      <w:bookmarkEnd w:id="76"/>
    </w:p>
    <w:bookmarkEnd w:id="3"/>
    <w:bookmarkEnd w:id="4"/>
    <w:bookmarkEnd w:id="5"/>
    <w:p w:rsidR="007139A5" w:rsidRPr="000A1DE6" w:rsidRDefault="00494365" w:rsidP="00494365">
      <w:pPr>
        <w:spacing w:before="120"/>
        <w:ind w:firstLine="360"/>
        <w:jc w:val="both"/>
        <w:rPr>
          <w:sz w:val="22"/>
          <w:szCs w:val="22"/>
        </w:rPr>
      </w:pPr>
      <w:r w:rsidRPr="000A1DE6">
        <w:rPr>
          <w:sz w:val="22"/>
          <w:szCs w:val="22"/>
        </w:rPr>
        <w:t>Ve vymezení kontaminačních mraků mohou nastat určité nepřesnosti z důvodu zjednodušení a schematizace horninového prostředí modelovou simulací, z důvodu existence do modelu nezahrnutých nebo nezjištěných dílčích preferenčních cest proudění a transferu kontaminantu. Hodnocení prognózy vývoje znečištění na lokalitě zatěžuje nejistota v definování  množství a rozložení kontaminantu mimo strukturu zvodně, tj. zbytkového</w:t>
      </w:r>
      <w:r w:rsidR="000A134C" w:rsidRPr="000A1DE6">
        <w:rPr>
          <w:sz w:val="22"/>
          <w:szCs w:val="22"/>
        </w:rPr>
        <w:t xml:space="preserve"> znečištění v nesaturované zóně a zbytkového znečištění v puklinách.</w:t>
      </w:r>
      <w:r w:rsidR="00A02100" w:rsidRPr="000A1DE6">
        <w:rPr>
          <w:sz w:val="22"/>
          <w:szCs w:val="22"/>
        </w:rPr>
        <w:t xml:space="preserve"> </w:t>
      </w:r>
      <w:r w:rsidRPr="000A1DE6">
        <w:rPr>
          <w:sz w:val="22"/>
          <w:szCs w:val="22"/>
        </w:rPr>
        <w:t>Vzhledem k charakteru zvodnělého prostředí nelze stanovit přesnější data v bilanci podzemní vody a na</w:t>
      </w:r>
      <w:r w:rsidR="004B4553" w:rsidRPr="000A1DE6">
        <w:rPr>
          <w:sz w:val="22"/>
          <w:szCs w:val="22"/>
        </w:rPr>
        <w:t> vodu vázaného znečištění.</w:t>
      </w:r>
    </w:p>
    <w:p w:rsidR="00E76E4B" w:rsidRPr="00401CC5" w:rsidRDefault="00E76E4B">
      <w:pPr>
        <w:rPr>
          <w:sz w:val="22"/>
          <w:szCs w:val="22"/>
          <w:highlight w:val="yellow"/>
        </w:rPr>
      </w:pPr>
    </w:p>
    <w:p w:rsidR="000A1DE6" w:rsidRDefault="000A1DE6">
      <w:pPr>
        <w:rPr>
          <w:b/>
          <w:bCs/>
          <w:kern w:val="32"/>
          <w:sz w:val="28"/>
          <w:szCs w:val="32"/>
        </w:rPr>
      </w:pPr>
    </w:p>
    <w:p w:rsidR="004B5ADD" w:rsidRDefault="004B5ADD">
      <w:pPr>
        <w:rPr>
          <w:b/>
          <w:bCs/>
          <w:kern w:val="32"/>
          <w:sz w:val="28"/>
          <w:szCs w:val="32"/>
        </w:rPr>
      </w:pPr>
    </w:p>
    <w:p w:rsidR="00BF2D86" w:rsidRPr="005A1133" w:rsidRDefault="00723502" w:rsidP="005A1133">
      <w:pPr>
        <w:pStyle w:val="Nadpis1"/>
      </w:pPr>
      <w:bookmarkStart w:id="77" w:name="_Toc405386084"/>
      <w:bookmarkStart w:id="78" w:name="_Toc405386166"/>
      <w:r w:rsidRPr="005A1133">
        <w:t>7</w:t>
      </w:r>
      <w:r w:rsidR="001E3E21">
        <w:t>.</w:t>
      </w:r>
      <w:r w:rsidR="00BF2D86" w:rsidRPr="005A1133">
        <w:tab/>
        <w:t>Závěr</w:t>
      </w:r>
      <w:r w:rsidR="005232C0" w:rsidRPr="005A1133">
        <w:t>y a doporučení</w:t>
      </w:r>
      <w:bookmarkEnd w:id="77"/>
      <w:bookmarkEnd w:id="78"/>
    </w:p>
    <w:p w:rsidR="00BF2D86" w:rsidRPr="000A1DE6" w:rsidRDefault="00BF2D86">
      <w:pPr>
        <w:rPr>
          <w:sz w:val="20"/>
          <w:szCs w:val="20"/>
        </w:rPr>
      </w:pPr>
    </w:p>
    <w:p w:rsidR="001E470F" w:rsidRPr="000A1DE6" w:rsidRDefault="001E470F">
      <w:pPr>
        <w:rPr>
          <w:sz w:val="20"/>
          <w:szCs w:val="20"/>
        </w:rPr>
      </w:pPr>
    </w:p>
    <w:p w:rsidR="00DC5F9A" w:rsidRPr="000A1DE6" w:rsidRDefault="00DC5F9A" w:rsidP="00DC5F9A">
      <w:pPr>
        <w:pStyle w:val="Zkladntext"/>
        <w:rPr>
          <w:bCs/>
          <w:i w:val="0"/>
          <w:sz w:val="24"/>
          <w:szCs w:val="24"/>
        </w:rPr>
      </w:pPr>
      <w:r w:rsidRPr="000A1DE6">
        <w:rPr>
          <w:i w:val="0"/>
          <w:sz w:val="24"/>
          <w:szCs w:val="24"/>
        </w:rPr>
        <w:t>Hydraulická část</w:t>
      </w:r>
    </w:p>
    <w:p w:rsidR="00AD3AE3" w:rsidRPr="00D529AC" w:rsidRDefault="007607E3" w:rsidP="009F577D">
      <w:pPr>
        <w:pStyle w:val="Zkladntext"/>
        <w:numPr>
          <w:ilvl w:val="0"/>
          <w:numId w:val="5"/>
        </w:numPr>
        <w:spacing w:before="120" w:after="120"/>
        <w:ind w:left="714" w:hanging="357"/>
        <w:jc w:val="both"/>
        <w:rPr>
          <w:b w:val="0"/>
          <w:bCs/>
          <w:i w:val="0"/>
          <w:sz w:val="22"/>
          <w:szCs w:val="22"/>
        </w:rPr>
      </w:pPr>
      <w:r w:rsidRPr="000A1DE6">
        <w:rPr>
          <w:b w:val="0"/>
          <w:bCs/>
          <w:i w:val="0"/>
          <w:sz w:val="22"/>
          <w:szCs w:val="22"/>
        </w:rPr>
        <w:t xml:space="preserve">Na základě dat </w:t>
      </w:r>
      <w:r w:rsidR="007427F6" w:rsidRPr="000A1DE6">
        <w:rPr>
          <w:b w:val="0"/>
          <w:bCs/>
          <w:i w:val="0"/>
          <w:sz w:val="22"/>
          <w:szCs w:val="22"/>
        </w:rPr>
        <w:t xml:space="preserve">z aktuálně </w:t>
      </w:r>
      <w:r w:rsidR="00C508C5" w:rsidRPr="000A1DE6">
        <w:rPr>
          <w:b w:val="0"/>
          <w:bCs/>
          <w:i w:val="0"/>
          <w:sz w:val="22"/>
          <w:szCs w:val="22"/>
        </w:rPr>
        <w:t xml:space="preserve">realizovaných prací </w:t>
      </w:r>
      <w:r w:rsidR="008951F2" w:rsidRPr="000A1DE6">
        <w:rPr>
          <w:b w:val="0"/>
          <w:bCs/>
          <w:i w:val="0"/>
          <w:sz w:val="22"/>
          <w:szCs w:val="22"/>
        </w:rPr>
        <w:t xml:space="preserve">na lokalitě </w:t>
      </w:r>
      <w:r w:rsidR="00530630" w:rsidRPr="000A1DE6">
        <w:rPr>
          <w:b w:val="0"/>
          <w:bCs/>
          <w:i w:val="0"/>
          <w:sz w:val="22"/>
          <w:szCs w:val="22"/>
        </w:rPr>
        <w:t xml:space="preserve">a na základě minulých modelových řešení </w:t>
      </w:r>
      <w:r w:rsidR="007427F6" w:rsidRPr="000A1DE6">
        <w:rPr>
          <w:b w:val="0"/>
          <w:bCs/>
          <w:i w:val="0"/>
          <w:sz w:val="22"/>
          <w:szCs w:val="22"/>
        </w:rPr>
        <w:t xml:space="preserve">byla </w:t>
      </w:r>
      <w:r w:rsidR="007427F6" w:rsidRPr="00D529AC">
        <w:rPr>
          <w:b w:val="0"/>
          <w:bCs/>
          <w:i w:val="0"/>
          <w:sz w:val="22"/>
          <w:szCs w:val="22"/>
        </w:rPr>
        <w:t xml:space="preserve">vytvořena </w:t>
      </w:r>
      <w:r w:rsidR="00530630" w:rsidRPr="00D529AC">
        <w:rPr>
          <w:b w:val="0"/>
          <w:bCs/>
          <w:i w:val="0"/>
          <w:sz w:val="22"/>
          <w:szCs w:val="22"/>
        </w:rPr>
        <w:t>ne</w:t>
      </w:r>
      <w:r w:rsidR="007427F6" w:rsidRPr="00D529AC">
        <w:rPr>
          <w:b w:val="0"/>
          <w:bCs/>
          <w:i w:val="0"/>
          <w:sz w:val="22"/>
          <w:szCs w:val="22"/>
        </w:rPr>
        <w:t>stacionární simulace ovlivněného pro</w:t>
      </w:r>
      <w:r w:rsidR="001A66EA" w:rsidRPr="00D529AC">
        <w:rPr>
          <w:b w:val="0"/>
          <w:bCs/>
          <w:i w:val="0"/>
          <w:sz w:val="22"/>
          <w:szCs w:val="22"/>
        </w:rPr>
        <w:t>udění. Simulace sloužila k odladění hydraulických chara</w:t>
      </w:r>
      <w:r w:rsidR="00D529AC">
        <w:rPr>
          <w:b w:val="0"/>
          <w:bCs/>
          <w:i w:val="0"/>
          <w:sz w:val="22"/>
          <w:szCs w:val="22"/>
        </w:rPr>
        <w:t>kteristik zvodnělého kolektoru.</w:t>
      </w:r>
    </w:p>
    <w:p w:rsidR="00E114AC" w:rsidRPr="000E7DCF" w:rsidRDefault="00E114AC" w:rsidP="00AF7733">
      <w:pPr>
        <w:pStyle w:val="Zkladntext"/>
        <w:numPr>
          <w:ilvl w:val="0"/>
          <w:numId w:val="5"/>
        </w:numPr>
        <w:spacing w:before="120" w:after="120"/>
        <w:ind w:left="714" w:hanging="357"/>
        <w:jc w:val="both"/>
        <w:rPr>
          <w:b w:val="0"/>
          <w:bCs/>
          <w:i w:val="0"/>
          <w:sz w:val="22"/>
          <w:szCs w:val="22"/>
        </w:rPr>
      </w:pPr>
      <w:r w:rsidRPr="000E7DCF">
        <w:rPr>
          <w:b w:val="0"/>
          <w:bCs/>
          <w:i w:val="0"/>
          <w:sz w:val="22"/>
          <w:szCs w:val="22"/>
        </w:rPr>
        <w:t xml:space="preserve">V průběhu roku </w:t>
      </w:r>
      <w:r w:rsidR="00E7346F" w:rsidRPr="000E7DCF">
        <w:rPr>
          <w:b w:val="0"/>
          <w:bCs/>
          <w:i w:val="0"/>
          <w:sz w:val="22"/>
          <w:szCs w:val="22"/>
        </w:rPr>
        <w:t>201</w:t>
      </w:r>
      <w:r w:rsidR="00DE07EE" w:rsidRPr="000E7DCF">
        <w:rPr>
          <w:b w:val="0"/>
          <w:bCs/>
          <w:i w:val="0"/>
          <w:sz w:val="22"/>
          <w:szCs w:val="22"/>
        </w:rPr>
        <w:t>6</w:t>
      </w:r>
      <w:r w:rsidRPr="000E7DCF">
        <w:rPr>
          <w:b w:val="0"/>
          <w:bCs/>
          <w:i w:val="0"/>
          <w:sz w:val="22"/>
          <w:szCs w:val="22"/>
        </w:rPr>
        <w:t xml:space="preserve"> </w:t>
      </w:r>
      <w:r w:rsidR="00E76E4B" w:rsidRPr="000E7DCF">
        <w:rPr>
          <w:b w:val="0"/>
          <w:bCs/>
          <w:i w:val="0"/>
          <w:sz w:val="22"/>
          <w:szCs w:val="22"/>
        </w:rPr>
        <w:t xml:space="preserve">byla dokumentována </w:t>
      </w:r>
      <w:r w:rsidR="00D529AC" w:rsidRPr="000E7DCF">
        <w:rPr>
          <w:b w:val="0"/>
          <w:bCs/>
          <w:i w:val="0"/>
          <w:sz w:val="22"/>
          <w:szCs w:val="22"/>
        </w:rPr>
        <w:t>obdobná</w:t>
      </w:r>
      <w:r w:rsidR="00530630" w:rsidRPr="000E7DCF">
        <w:rPr>
          <w:b w:val="0"/>
          <w:bCs/>
          <w:i w:val="0"/>
          <w:sz w:val="22"/>
          <w:szCs w:val="22"/>
        </w:rPr>
        <w:t xml:space="preserve"> </w:t>
      </w:r>
      <w:r w:rsidR="00E76E4B" w:rsidRPr="000E7DCF">
        <w:rPr>
          <w:b w:val="0"/>
          <w:bCs/>
          <w:i w:val="0"/>
          <w:sz w:val="22"/>
          <w:szCs w:val="22"/>
        </w:rPr>
        <w:t>hladin</w:t>
      </w:r>
      <w:r w:rsidR="000A1DE6" w:rsidRPr="000E7DCF">
        <w:rPr>
          <w:b w:val="0"/>
          <w:bCs/>
          <w:i w:val="0"/>
          <w:sz w:val="22"/>
          <w:szCs w:val="22"/>
        </w:rPr>
        <w:t>a</w:t>
      </w:r>
      <w:r w:rsidR="00E76E4B" w:rsidRPr="000E7DCF">
        <w:rPr>
          <w:b w:val="0"/>
          <w:bCs/>
          <w:i w:val="0"/>
          <w:sz w:val="22"/>
          <w:szCs w:val="22"/>
        </w:rPr>
        <w:t xml:space="preserve"> podzemní vody</w:t>
      </w:r>
      <w:r w:rsidR="000A1DE6" w:rsidRPr="000E7DCF">
        <w:rPr>
          <w:b w:val="0"/>
          <w:bCs/>
          <w:i w:val="0"/>
          <w:sz w:val="22"/>
          <w:szCs w:val="22"/>
        </w:rPr>
        <w:t xml:space="preserve"> srovnatelná s</w:t>
      </w:r>
      <w:r w:rsidR="00CA097E" w:rsidRPr="000E7DCF">
        <w:rPr>
          <w:b w:val="0"/>
          <w:bCs/>
          <w:i w:val="0"/>
          <w:sz w:val="22"/>
          <w:szCs w:val="22"/>
        </w:rPr>
        <w:t> </w:t>
      </w:r>
      <w:r w:rsidR="000A1DE6" w:rsidRPr="000E7DCF">
        <w:rPr>
          <w:b w:val="0"/>
          <w:bCs/>
          <w:i w:val="0"/>
          <w:sz w:val="22"/>
          <w:szCs w:val="22"/>
        </w:rPr>
        <w:t>předchozím rokem</w:t>
      </w:r>
      <w:r w:rsidR="00946DDD" w:rsidRPr="000E7DCF">
        <w:rPr>
          <w:b w:val="0"/>
          <w:bCs/>
          <w:i w:val="0"/>
          <w:sz w:val="22"/>
          <w:szCs w:val="22"/>
        </w:rPr>
        <w:t>,</w:t>
      </w:r>
      <w:r w:rsidR="00530630" w:rsidRPr="000E7DCF">
        <w:rPr>
          <w:b w:val="0"/>
          <w:bCs/>
          <w:i w:val="0"/>
          <w:sz w:val="22"/>
          <w:szCs w:val="22"/>
        </w:rPr>
        <w:t xml:space="preserve"> </w:t>
      </w:r>
      <w:r w:rsidR="00D529AC" w:rsidRPr="000E7DCF">
        <w:rPr>
          <w:b w:val="0"/>
          <w:bCs/>
          <w:i w:val="0"/>
          <w:sz w:val="22"/>
          <w:szCs w:val="22"/>
        </w:rPr>
        <w:t xml:space="preserve">s mírně poklesovým trendem, </w:t>
      </w:r>
      <w:r w:rsidR="000A1DE6" w:rsidRPr="000E7DCF">
        <w:rPr>
          <w:b w:val="0"/>
          <w:bCs/>
          <w:i w:val="0"/>
          <w:sz w:val="22"/>
          <w:szCs w:val="22"/>
        </w:rPr>
        <w:t>bez výrazných fluktuací</w:t>
      </w:r>
      <w:r w:rsidR="00D529AC" w:rsidRPr="000E7DCF">
        <w:rPr>
          <w:b w:val="0"/>
          <w:bCs/>
          <w:i w:val="0"/>
          <w:sz w:val="22"/>
          <w:szCs w:val="22"/>
        </w:rPr>
        <w:t>.</w:t>
      </w:r>
    </w:p>
    <w:p w:rsidR="00306FF2" w:rsidRPr="001F4CD7" w:rsidRDefault="00C9560F" w:rsidP="00AF7733">
      <w:pPr>
        <w:pStyle w:val="Zkladntext"/>
        <w:numPr>
          <w:ilvl w:val="0"/>
          <w:numId w:val="5"/>
        </w:numPr>
        <w:spacing w:before="120" w:after="120"/>
        <w:ind w:left="714" w:hanging="357"/>
        <w:jc w:val="both"/>
        <w:rPr>
          <w:b w:val="0"/>
          <w:bCs/>
          <w:i w:val="0"/>
          <w:sz w:val="22"/>
          <w:szCs w:val="22"/>
        </w:rPr>
      </w:pPr>
      <w:r w:rsidRPr="001F4CD7">
        <w:rPr>
          <w:b w:val="0"/>
          <w:bCs/>
          <w:i w:val="0"/>
          <w:sz w:val="22"/>
          <w:szCs w:val="22"/>
        </w:rPr>
        <w:t xml:space="preserve">Tlaková bilance mezi </w:t>
      </w:r>
      <w:r w:rsidR="00306FF2" w:rsidRPr="001F4CD7">
        <w:rPr>
          <w:b w:val="0"/>
          <w:bCs/>
          <w:i w:val="0"/>
          <w:sz w:val="22"/>
          <w:szCs w:val="22"/>
        </w:rPr>
        <w:t>cenomanem a turonem</w:t>
      </w:r>
      <w:r w:rsidRPr="001F4CD7">
        <w:rPr>
          <w:b w:val="0"/>
          <w:bCs/>
          <w:i w:val="0"/>
          <w:sz w:val="22"/>
          <w:szCs w:val="22"/>
        </w:rPr>
        <w:t xml:space="preserve"> zůstává i nadále pozitivní </w:t>
      </w:r>
      <w:r w:rsidR="002C6EC1" w:rsidRPr="001F4CD7">
        <w:rPr>
          <w:b w:val="0"/>
          <w:bCs/>
          <w:i w:val="0"/>
          <w:sz w:val="22"/>
          <w:szCs w:val="22"/>
        </w:rPr>
        <w:t>–</w:t>
      </w:r>
      <w:r w:rsidRPr="001F4CD7">
        <w:rPr>
          <w:b w:val="0"/>
          <w:bCs/>
          <w:i w:val="0"/>
          <w:sz w:val="22"/>
          <w:szCs w:val="22"/>
        </w:rPr>
        <w:t xml:space="preserve"> </w:t>
      </w:r>
      <w:r w:rsidR="00306FF2" w:rsidRPr="001F4CD7">
        <w:rPr>
          <w:b w:val="0"/>
          <w:bCs/>
          <w:i w:val="0"/>
          <w:sz w:val="22"/>
          <w:szCs w:val="22"/>
        </w:rPr>
        <w:t>v období 200</w:t>
      </w:r>
      <w:r w:rsidR="00530630" w:rsidRPr="001F4CD7">
        <w:rPr>
          <w:b w:val="0"/>
          <w:bCs/>
          <w:i w:val="0"/>
          <w:sz w:val="22"/>
          <w:szCs w:val="22"/>
        </w:rPr>
        <w:t>7</w:t>
      </w:r>
      <w:r w:rsidR="00306FF2" w:rsidRPr="001F4CD7">
        <w:rPr>
          <w:b w:val="0"/>
          <w:bCs/>
          <w:i w:val="0"/>
          <w:sz w:val="22"/>
          <w:szCs w:val="22"/>
        </w:rPr>
        <w:t xml:space="preserve">–2009 </w:t>
      </w:r>
      <w:r w:rsidR="00530630" w:rsidRPr="001F4CD7">
        <w:rPr>
          <w:b w:val="0"/>
          <w:bCs/>
          <w:i w:val="0"/>
          <w:sz w:val="22"/>
          <w:szCs w:val="22"/>
        </w:rPr>
        <w:t xml:space="preserve">přesahovala </w:t>
      </w:r>
      <w:r w:rsidR="00306FF2" w:rsidRPr="001F4CD7">
        <w:rPr>
          <w:b w:val="0"/>
          <w:bCs/>
          <w:i w:val="0"/>
          <w:sz w:val="22"/>
          <w:szCs w:val="22"/>
        </w:rPr>
        <w:t xml:space="preserve">hodnota rozdílu </w:t>
      </w:r>
      <w:r w:rsidR="00530630" w:rsidRPr="001F4CD7">
        <w:rPr>
          <w:b w:val="0"/>
          <w:bCs/>
          <w:i w:val="0"/>
          <w:sz w:val="22"/>
          <w:szCs w:val="22"/>
        </w:rPr>
        <w:t xml:space="preserve">tlakové úrovně </w:t>
      </w:r>
      <w:r w:rsidR="00306FF2" w:rsidRPr="001F4CD7">
        <w:rPr>
          <w:b w:val="0"/>
          <w:bCs/>
          <w:i w:val="0"/>
          <w:sz w:val="22"/>
          <w:szCs w:val="22"/>
        </w:rPr>
        <w:t>mezi vrt</w:t>
      </w:r>
      <w:r w:rsidR="00530630" w:rsidRPr="001F4CD7">
        <w:rPr>
          <w:b w:val="0"/>
          <w:bCs/>
          <w:i w:val="0"/>
          <w:sz w:val="22"/>
          <w:szCs w:val="22"/>
        </w:rPr>
        <w:t>y</w:t>
      </w:r>
      <w:r w:rsidR="00306FF2" w:rsidRPr="001F4CD7">
        <w:rPr>
          <w:b w:val="0"/>
          <w:bCs/>
          <w:i w:val="0"/>
          <w:sz w:val="22"/>
          <w:szCs w:val="22"/>
        </w:rPr>
        <w:t xml:space="preserve"> ART-1 a T-24 přes </w:t>
      </w:r>
      <w:r w:rsidR="00530630" w:rsidRPr="001F4CD7">
        <w:rPr>
          <w:b w:val="0"/>
          <w:bCs/>
          <w:i w:val="0"/>
          <w:sz w:val="22"/>
          <w:szCs w:val="22"/>
        </w:rPr>
        <w:t xml:space="preserve">hodnotu </w:t>
      </w:r>
      <w:r w:rsidR="00306FF2" w:rsidRPr="001F4CD7">
        <w:rPr>
          <w:b w:val="0"/>
          <w:bCs/>
          <w:i w:val="0"/>
          <w:sz w:val="22"/>
          <w:szCs w:val="22"/>
        </w:rPr>
        <w:t xml:space="preserve">11 m, </w:t>
      </w:r>
      <w:r w:rsidRPr="001F4CD7">
        <w:rPr>
          <w:b w:val="0"/>
          <w:bCs/>
          <w:i w:val="0"/>
          <w:sz w:val="22"/>
          <w:szCs w:val="22"/>
        </w:rPr>
        <w:t xml:space="preserve">v roce 2010 </w:t>
      </w:r>
      <w:r w:rsidR="00530630" w:rsidRPr="001F4CD7">
        <w:rPr>
          <w:b w:val="0"/>
          <w:bCs/>
          <w:i w:val="0"/>
          <w:sz w:val="22"/>
          <w:szCs w:val="22"/>
        </w:rPr>
        <w:t xml:space="preserve">klesla tato </w:t>
      </w:r>
      <w:r w:rsidRPr="001F4CD7">
        <w:rPr>
          <w:b w:val="0"/>
          <w:bCs/>
          <w:i w:val="0"/>
          <w:sz w:val="22"/>
          <w:szCs w:val="22"/>
        </w:rPr>
        <w:t xml:space="preserve">hodnota </w:t>
      </w:r>
      <w:r w:rsidR="00530630" w:rsidRPr="001F4CD7">
        <w:rPr>
          <w:b w:val="0"/>
          <w:bCs/>
          <w:i w:val="0"/>
          <w:sz w:val="22"/>
          <w:szCs w:val="22"/>
        </w:rPr>
        <w:t>pod 9</w:t>
      </w:r>
      <w:r w:rsidR="00306FF2" w:rsidRPr="001F4CD7">
        <w:rPr>
          <w:b w:val="0"/>
          <w:bCs/>
          <w:i w:val="0"/>
          <w:sz w:val="22"/>
          <w:szCs w:val="22"/>
        </w:rPr>
        <w:t> m</w:t>
      </w:r>
      <w:r w:rsidR="00530630" w:rsidRPr="001F4CD7">
        <w:rPr>
          <w:b w:val="0"/>
          <w:bCs/>
          <w:i w:val="0"/>
          <w:sz w:val="22"/>
          <w:szCs w:val="22"/>
        </w:rPr>
        <w:t>; za období 2011–2013 lze konstatovat, že se hodnota udržuje na úrovni +9 m, což lze hodnotit jako uspokojivé</w:t>
      </w:r>
      <w:r w:rsidR="00306FF2" w:rsidRPr="001F4CD7">
        <w:rPr>
          <w:b w:val="0"/>
          <w:bCs/>
          <w:i w:val="0"/>
          <w:sz w:val="22"/>
          <w:szCs w:val="22"/>
        </w:rPr>
        <w:t xml:space="preserve">; </w:t>
      </w:r>
      <w:r w:rsidR="000A1DE6" w:rsidRPr="001F4CD7">
        <w:rPr>
          <w:b w:val="0"/>
          <w:bCs/>
          <w:i w:val="0"/>
          <w:sz w:val="22"/>
          <w:szCs w:val="22"/>
        </w:rPr>
        <w:t>V roce 2013 byl vrt T-24 poškozen a pro hodnocení nahrazen vrtem T-7; Průměrná výtlačná úroveň cenomanského kolektoru byla v roce 201</w:t>
      </w:r>
      <w:r w:rsidR="00D529AC">
        <w:rPr>
          <w:b w:val="0"/>
          <w:bCs/>
          <w:i w:val="0"/>
          <w:sz w:val="22"/>
          <w:szCs w:val="22"/>
        </w:rPr>
        <w:t>5</w:t>
      </w:r>
      <w:r w:rsidR="000A1DE6" w:rsidRPr="001F4CD7">
        <w:rPr>
          <w:b w:val="0"/>
          <w:bCs/>
          <w:i w:val="0"/>
          <w:sz w:val="22"/>
          <w:szCs w:val="22"/>
        </w:rPr>
        <w:t xml:space="preserve"> na úrovni +</w:t>
      </w:r>
      <w:r w:rsidR="00D529AC">
        <w:rPr>
          <w:b w:val="0"/>
          <w:bCs/>
          <w:i w:val="0"/>
          <w:sz w:val="22"/>
          <w:szCs w:val="22"/>
        </w:rPr>
        <w:t>1,37</w:t>
      </w:r>
      <w:r w:rsidR="000A1DE6" w:rsidRPr="001F4CD7">
        <w:rPr>
          <w:b w:val="0"/>
          <w:bCs/>
          <w:i w:val="0"/>
          <w:sz w:val="22"/>
          <w:szCs w:val="22"/>
        </w:rPr>
        <w:t xml:space="preserve"> m nad </w:t>
      </w:r>
      <w:r w:rsidR="006F3607">
        <w:rPr>
          <w:b w:val="0"/>
          <w:bCs/>
          <w:i w:val="0"/>
          <w:sz w:val="22"/>
          <w:szCs w:val="22"/>
        </w:rPr>
        <w:t xml:space="preserve">tlakovou úrovní </w:t>
      </w:r>
      <w:r w:rsidR="001F4CD7" w:rsidRPr="001F4CD7">
        <w:rPr>
          <w:b w:val="0"/>
          <w:bCs/>
          <w:i w:val="0"/>
          <w:sz w:val="22"/>
          <w:szCs w:val="22"/>
        </w:rPr>
        <w:t>kolektor turonu</w:t>
      </w:r>
      <w:r w:rsidR="00975218">
        <w:rPr>
          <w:b w:val="0"/>
          <w:bCs/>
          <w:i w:val="0"/>
          <w:sz w:val="22"/>
          <w:szCs w:val="22"/>
        </w:rPr>
        <w:t xml:space="preserve"> (rok 2014 = 3,2 m).</w:t>
      </w:r>
    </w:p>
    <w:p w:rsidR="0042114B" w:rsidRPr="001F4CD7" w:rsidRDefault="006641F8" w:rsidP="00AF7733">
      <w:pPr>
        <w:pStyle w:val="Zkladntext"/>
        <w:numPr>
          <w:ilvl w:val="0"/>
          <w:numId w:val="5"/>
        </w:numPr>
        <w:spacing w:before="120" w:after="120"/>
        <w:ind w:left="714" w:hanging="357"/>
        <w:jc w:val="both"/>
        <w:rPr>
          <w:b w:val="0"/>
          <w:bCs/>
          <w:i w:val="0"/>
          <w:sz w:val="22"/>
          <w:szCs w:val="22"/>
        </w:rPr>
      </w:pPr>
      <w:r w:rsidRPr="001F4CD7">
        <w:rPr>
          <w:b w:val="0"/>
          <w:bCs/>
          <w:i w:val="0"/>
          <w:sz w:val="22"/>
          <w:szCs w:val="22"/>
        </w:rPr>
        <w:lastRenderedPageBreak/>
        <w:t>D</w:t>
      </w:r>
      <w:r w:rsidR="00827D3B" w:rsidRPr="001F4CD7">
        <w:rPr>
          <w:b w:val="0"/>
          <w:bCs/>
          <w:i w:val="0"/>
          <w:sz w:val="22"/>
          <w:szCs w:val="22"/>
        </w:rPr>
        <w:t xml:space="preserve">oporučujeme </w:t>
      </w:r>
      <w:r w:rsidR="001F4CD7" w:rsidRPr="001F4CD7">
        <w:rPr>
          <w:b w:val="0"/>
          <w:bCs/>
          <w:i w:val="0"/>
          <w:sz w:val="22"/>
          <w:szCs w:val="22"/>
        </w:rPr>
        <w:t>zvážit možnost ú</w:t>
      </w:r>
      <w:r w:rsidR="00827D3B" w:rsidRPr="001F4CD7">
        <w:rPr>
          <w:b w:val="0"/>
          <w:bCs/>
          <w:i w:val="0"/>
          <w:sz w:val="22"/>
          <w:szCs w:val="22"/>
        </w:rPr>
        <w:t>prav</w:t>
      </w:r>
      <w:r w:rsidR="001F4CD7" w:rsidRPr="001F4CD7">
        <w:rPr>
          <w:b w:val="0"/>
          <w:bCs/>
          <w:i w:val="0"/>
          <w:sz w:val="22"/>
          <w:szCs w:val="22"/>
        </w:rPr>
        <w:t>y</w:t>
      </w:r>
      <w:r w:rsidR="00827D3B" w:rsidRPr="001F4CD7">
        <w:rPr>
          <w:b w:val="0"/>
          <w:bCs/>
          <w:i w:val="0"/>
          <w:sz w:val="22"/>
          <w:szCs w:val="22"/>
        </w:rPr>
        <w:t xml:space="preserve"> čerpání </w:t>
      </w:r>
      <w:r w:rsidR="001F4CD7" w:rsidRPr="001F4CD7">
        <w:rPr>
          <w:b w:val="0"/>
          <w:bCs/>
          <w:i w:val="0"/>
          <w:sz w:val="22"/>
          <w:szCs w:val="22"/>
        </w:rPr>
        <w:t xml:space="preserve">z hydraulické bariéry v horizontu </w:t>
      </w:r>
      <w:r w:rsidR="00D529AC">
        <w:rPr>
          <w:b w:val="0"/>
          <w:bCs/>
          <w:i w:val="0"/>
          <w:sz w:val="22"/>
          <w:szCs w:val="22"/>
        </w:rPr>
        <w:t>2</w:t>
      </w:r>
      <w:r w:rsidR="001F4CD7" w:rsidRPr="001F4CD7">
        <w:rPr>
          <w:b w:val="0"/>
          <w:bCs/>
          <w:i w:val="0"/>
          <w:sz w:val="22"/>
          <w:szCs w:val="22"/>
        </w:rPr>
        <w:t xml:space="preserve"> let</w:t>
      </w:r>
      <w:r w:rsidR="0042114B" w:rsidRPr="001F4CD7">
        <w:rPr>
          <w:b w:val="0"/>
          <w:bCs/>
          <w:i w:val="0"/>
          <w:sz w:val="22"/>
          <w:szCs w:val="22"/>
        </w:rPr>
        <w:t>.</w:t>
      </w:r>
    </w:p>
    <w:p w:rsidR="00DC5F9A" w:rsidRPr="000E7DCF" w:rsidRDefault="00DC5F9A" w:rsidP="004271A5">
      <w:pPr>
        <w:pStyle w:val="Zkladntext"/>
        <w:spacing w:before="120" w:after="120"/>
        <w:jc w:val="both"/>
        <w:rPr>
          <w:i w:val="0"/>
          <w:sz w:val="24"/>
          <w:szCs w:val="24"/>
        </w:rPr>
      </w:pPr>
      <w:r w:rsidRPr="000E7DCF">
        <w:rPr>
          <w:i w:val="0"/>
          <w:sz w:val="24"/>
          <w:szCs w:val="24"/>
        </w:rPr>
        <w:t>Transportní část</w:t>
      </w:r>
    </w:p>
    <w:p w:rsidR="00DC7746" w:rsidRPr="000E7DCF" w:rsidRDefault="00DC7746" w:rsidP="009F577D">
      <w:pPr>
        <w:numPr>
          <w:ilvl w:val="0"/>
          <w:numId w:val="6"/>
        </w:numPr>
        <w:spacing w:before="120"/>
        <w:ind w:left="714" w:hanging="357"/>
        <w:jc w:val="both"/>
        <w:rPr>
          <w:sz w:val="22"/>
          <w:szCs w:val="22"/>
        </w:rPr>
      </w:pPr>
      <w:r w:rsidRPr="000E7DCF">
        <w:rPr>
          <w:sz w:val="22"/>
          <w:szCs w:val="22"/>
        </w:rPr>
        <w:t xml:space="preserve">Modelové řešení za rok </w:t>
      </w:r>
      <w:r w:rsidR="00E7346F" w:rsidRPr="000E7DCF">
        <w:rPr>
          <w:sz w:val="22"/>
          <w:szCs w:val="22"/>
        </w:rPr>
        <w:t>201</w:t>
      </w:r>
      <w:r w:rsidR="00677C3F" w:rsidRPr="000E7DCF">
        <w:rPr>
          <w:sz w:val="22"/>
          <w:szCs w:val="22"/>
        </w:rPr>
        <w:t>6</w:t>
      </w:r>
      <w:r w:rsidRPr="000E7DCF">
        <w:rPr>
          <w:sz w:val="22"/>
          <w:szCs w:val="22"/>
        </w:rPr>
        <w:t xml:space="preserve"> uvažuje kontaminaci perchlorethylenu jako prioritního a primárního kontaminantu na lokalitě Transporta; sanační limit v oblasti nového závodu byl pro podzemní vodu stanoven na ú</w:t>
      </w:r>
      <w:r w:rsidR="0036675D" w:rsidRPr="000E7DCF">
        <w:rPr>
          <w:sz w:val="22"/>
          <w:szCs w:val="22"/>
        </w:rPr>
        <w:t>rovni 20 µg/l PCE.</w:t>
      </w:r>
    </w:p>
    <w:p w:rsidR="000274E1" w:rsidRPr="000E7DCF" w:rsidRDefault="00B2108C" w:rsidP="006641F8">
      <w:pPr>
        <w:numPr>
          <w:ilvl w:val="0"/>
          <w:numId w:val="6"/>
        </w:numPr>
        <w:spacing w:before="120"/>
        <w:ind w:left="714" w:hanging="357"/>
        <w:jc w:val="both"/>
        <w:rPr>
          <w:sz w:val="22"/>
          <w:szCs w:val="22"/>
        </w:rPr>
      </w:pPr>
      <w:r w:rsidRPr="000E7DCF">
        <w:rPr>
          <w:sz w:val="22"/>
          <w:szCs w:val="22"/>
        </w:rPr>
        <w:t xml:space="preserve">Byla provedena simulace šíření </w:t>
      </w:r>
      <w:r w:rsidR="0017267B" w:rsidRPr="000E7DCF">
        <w:rPr>
          <w:sz w:val="22"/>
          <w:szCs w:val="22"/>
        </w:rPr>
        <w:t xml:space="preserve">PCE </w:t>
      </w:r>
      <w:r w:rsidRPr="000E7DCF">
        <w:rPr>
          <w:sz w:val="22"/>
          <w:szCs w:val="22"/>
        </w:rPr>
        <w:t xml:space="preserve">pro </w:t>
      </w:r>
      <w:r w:rsidR="0017267B" w:rsidRPr="000E7DCF">
        <w:rPr>
          <w:sz w:val="22"/>
          <w:szCs w:val="22"/>
        </w:rPr>
        <w:t xml:space="preserve">roky </w:t>
      </w:r>
      <w:r w:rsidR="00677C3F" w:rsidRPr="000E7DCF">
        <w:rPr>
          <w:sz w:val="22"/>
          <w:szCs w:val="22"/>
        </w:rPr>
        <w:t>2017</w:t>
      </w:r>
      <w:r w:rsidRPr="000E7DCF">
        <w:rPr>
          <w:sz w:val="22"/>
          <w:szCs w:val="22"/>
        </w:rPr>
        <w:t>,</w:t>
      </w:r>
      <w:r w:rsidR="00677C3F" w:rsidRPr="000E7DCF">
        <w:rPr>
          <w:sz w:val="22"/>
          <w:szCs w:val="22"/>
        </w:rPr>
        <w:t xml:space="preserve"> </w:t>
      </w:r>
      <w:r w:rsidR="0036675D" w:rsidRPr="000E7DCF">
        <w:rPr>
          <w:sz w:val="22"/>
          <w:szCs w:val="22"/>
        </w:rPr>
        <w:t>2020</w:t>
      </w:r>
      <w:r w:rsidR="0017267B" w:rsidRPr="000E7DCF">
        <w:rPr>
          <w:sz w:val="22"/>
          <w:szCs w:val="22"/>
        </w:rPr>
        <w:t xml:space="preserve"> a</w:t>
      </w:r>
      <w:r w:rsidRPr="000E7DCF">
        <w:rPr>
          <w:sz w:val="22"/>
          <w:szCs w:val="22"/>
        </w:rPr>
        <w:t xml:space="preserve"> </w:t>
      </w:r>
      <w:r w:rsidR="00677C3F" w:rsidRPr="000E7DCF">
        <w:rPr>
          <w:sz w:val="22"/>
          <w:szCs w:val="22"/>
        </w:rPr>
        <w:t>2026</w:t>
      </w:r>
      <w:r w:rsidR="0036675D" w:rsidRPr="000E7DCF">
        <w:rPr>
          <w:sz w:val="22"/>
          <w:szCs w:val="22"/>
        </w:rPr>
        <w:t>.</w:t>
      </w:r>
    </w:p>
    <w:p w:rsidR="001511CD" w:rsidRPr="000E7DCF" w:rsidRDefault="004864F8" w:rsidP="00192350">
      <w:pPr>
        <w:numPr>
          <w:ilvl w:val="0"/>
          <w:numId w:val="6"/>
        </w:numPr>
        <w:spacing w:before="120"/>
        <w:ind w:left="714" w:hanging="357"/>
        <w:jc w:val="both"/>
        <w:rPr>
          <w:sz w:val="22"/>
          <w:szCs w:val="22"/>
        </w:rPr>
      </w:pPr>
      <w:r w:rsidRPr="000E7DCF">
        <w:rPr>
          <w:sz w:val="22"/>
          <w:szCs w:val="22"/>
        </w:rPr>
        <w:t xml:space="preserve">V rámci modelového řešení za rok </w:t>
      </w:r>
      <w:r w:rsidR="00E7346F" w:rsidRPr="000E7DCF">
        <w:rPr>
          <w:sz w:val="22"/>
          <w:szCs w:val="22"/>
        </w:rPr>
        <w:t>201</w:t>
      </w:r>
      <w:r w:rsidR="00677C3F" w:rsidRPr="000E7DCF">
        <w:rPr>
          <w:sz w:val="22"/>
          <w:szCs w:val="22"/>
        </w:rPr>
        <w:t>6</w:t>
      </w:r>
      <w:r w:rsidRPr="000E7DCF">
        <w:rPr>
          <w:sz w:val="22"/>
          <w:szCs w:val="22"/>
        </w:rPr>
        <w:t xml:space="preserve"> byl simulován </w:t>
      </w:r>
      <w:r w:rsidR="00EB27C1" w:rsidRPr="000E7DCF">
        <w:rPr>
          <w:sz w:val="22"/>
          <w:szCs w:val="22"/>
        </w:rPr>
        <w:t>stávající systém hydraulické bariéry v</w:t>
      </w:r>
      <w:r w:rsidR="0040499E" w:rsidRPr="000E7DCF">
        <w:rPr>
          <w:sz w:val="22"/>
          <w:szCs w:val="22"/>
        </w:rPr>
        <w:t> </w:t>
      </w:r>
      <w:r w:rsidR="0020646D" w:rsidRPr="000E7DCF">
        <w:rPr>
          <w:sz w:val="22"/>
          <w:szCs w:val="22"/>
        </w:rPr>
        <w:t>provozu od ledna do prosince 2016</w:t>
      </w:r>
      <w:r w:rsidR="0036675D" w:rsidRPr="000E7DCF">
        <w:rPr>
          <w:sz w:val="22"/>
          <w:szCs w:val="22"/>
        </w:rPr>
        <w:t>.</w:t>
      </w:r>
    </w:p>
    <w:p w:rsidR="00677C3F" w:rsidRPr="000E7DCF" w:rsidRDefault="00677C3F" w:rsidP="00677C3F">
      <w:pPr>
        <w:numPr>
          <w:ilvl w:val="0"/>
          <w:numId w:val="6"/>
        </w:numPr>
        <w:spacing w:before="120"/>
        <w:ind w:left="714" w:hanging="357"/>
        <w:jc w:val="both"/>
        <w:rPr>
          <w:sz w:val="22"/>
          <w:szCs w:val="22"/>
        </w:rPr>
      </w:pPr>
      <w:r w:rsidRPr="000E7DCF">
        <w:rPr>
          <w:sz w:val="22"/>
          <w:szCs w:val="22"/>
        </w:rPr>
        <w:t>V rámci modelového řešení za rok 201</w:t>
      </w:r>
      <w:r w:rsidRPr="000E7DCF">
        <w:rPr>
          <w:sz w:val="22"/>
          <w:szCs w:val="22"/>
        </w:rPr>
        <w:t>7 - 2026</w:t>
      </w:r>
      <w:r w:rsidRPr="000E7DCF">
        <w:rPr>
          <w:sz w:val="22"/>
          <w:szCs w:val="22"/>
        </w:rPr>
        <w:t xml:space="preserve"> byl simulován</w:t>
      </w:r>
      <w:r w:rsidRPr="000E7DCF">
        <w:rPr>
          <w:sz w:val="22"/>
          <w:szCs w:val="22"/>
        </w:rPr>
        <w:t xml:space="preserve"> vývoj po odstávce</w:t>
      </w:r>
      <w:r w:rsidRPr="000E7DCF">
        <w:rPr>
          <w:sz w:val="22"/>
          <w:szCs w:val="22"/>
        </w:rPr>
        <w:t xml:space="preserve"> stávající</w:t>
      </w:r>
      <w:r w:rsidRPr="000E7DCF">
        <w:rPr>
          <w:sz w:val="22"/>
          <w:szCs w:val="22"/>
        </w:rPr>
        <w:t>ho</w:t>
      </w:r>
      <w:r w:rsidRPr="000E7DCF">
        <w:rPr>
          <w:sz w:val="22"/>
          <w:szCs w:val="22"/>
        </w:rPr>
        <w:t xml:space="preserve"> systém</w:t>
      </w:r>
      <w:r w:rsidR="00063FE1" w:rsidRPr="000E7DCF">
        <w:rPr>
          <w:sz w:val="22"/>
          <w:szCs w:val="22"/>
        </w:rPr>
        <w:t>u</w:t>
      </w:r>
      <w:r w:rsidRPr="000E7DCF">
        <w:rPr>
          <w:sz w:val="22"/>
          <w:szCs w:val="22"/>
        </w:rPr>
        <w:t xml:space="preserve"> hydraulické bariéry</w:t>
      </w:r>
      <w:r w:rsidRPr="000E7DCF">
        <w:rPr>
          <w:sz w:val="22"/>
          <w:szCs w:val="22"/>
        </w:rPr>
        <w:t xml:space="preserve"> a to až do konce modelové simulace</w:t>
      </w:r>
      <w:r w:rsidRPr="000E7DCF">
        <w:rPr>
          <w:sz w:val="22"/>
          <w:szCs w:val="22"/>
        </w:rPr>
        <w:t>.</w:t>
      </w:r>
    </w:p>
    <w:p w:rsidR="001511CD" w:rsidRPr="000E7DCF" w:rsidRDefault="00F14BD1" w:rsidP="00192350">
      <w:pPr>
        <w:numPr>
          <w:ilvl w:val="0"/>
          <w:numId w:val="6"/>
        </w:numPr>
        <w:spacing w:before="120"/>
        <w:ind w:left="714" w:hanging="357"/>
        <w:jc w:val="both"/>
        <w:rPr>
          <w:sz w:val="22"/>
          <w:szCs w:val="22"/>
        </w:rPr>
      </w:pPr>
      <w:r w:rsidRPr="000E7DCF">
        <w:rPr>
          <w:sz w:val="22"/>
          <w:szCs w:val="22"/>
        </w:rPr>
        <w:t>Z výsledků modelového řešení lze konstatovat</w:t>
      </w:r>
      <w:r w:rsidR="004864F8" w:rsidRPr="000E7DCF">
        <w:rPr>
          <w:sz w:val="22"/>
          <w:szCs w:val="22"/>
        </w:rPr>
        <w:t xml:space="preserve">, že hodnoty kontaminace podzemní vody </w:t>
      </w:r>
      <w:r w:rsidR="00707EA7" w:rsidRPr="000E7DCF">
        <w:rPr>
          <w:sz w:val="22"/>
          <w:szCs w:val="22"/>
        </w:rPr>
        <w:t xml:space="preserve">v oblasti nového závodu a severního předpolí </w:t>
      </w:r>
      <w:r w:rsidR="004864F8" w:rsidRPr="000E7DCF">
        <w:rPr>
          <w:sz w:val="22"/>
          <w:szCs w:val="22"/>
        </w:rPr>
        <w:t xml:space="preserve">v horizontu </w:t>
      </w:r>
      <w:r w:rsidR="003344DA" w:rsidRPr="000E7DCF">
        <w:rPr>
          <w:sz w:val="22"/>
          <w:szCs w:val="22"/>
        </w:rPr>
        <w:t>1</w:t>
      </w:r>
      <w:r w:rsidR="0020646D" w:rsidRPr="000E7DCF">
        <w:rPr>
          <w:sz w:val="22"/>
          <w:szCs w:val="22"/>
        </w:rPr>
        <w:t>0 let při odstave</w:t>
      </w:r>
      <w:r w:rsidR="004864F8" w:rsidRPr="000E7DCF">
        <w:rPr>
          <w:sz w:val="22"/>
          <w:szCs w:val="22"/>
        </w:rPr>
        <w:t>ní čerpání výrazně poklesnou</w:t>
      </w:r>
      <w:r w:rsidR="0020646D" w:rsidRPr="000E7DCF">
        <w:rPr>
          <w:sz w:val="22"/>
          <w:szCs w:val="22"/>
        </w:rPr>
        <w:t xml:space="preserve"> procesem přirozené atenuace</w:t>
      </w:r>
      <w:r w:rsidR="00063FE1" w:rsidRPr="000E7DCF">
        <w:rPr>
          <w:sz w:val="22"/>
          <w:szCs w:val="22"/>
        </w:rPr>
        <w:t>. Pro rok 2026 bude na základě modelové simulace p</w:t>
      </w:r>
      <w:r w:rsidR="003344DA" w:rsidRPr="000E7DCF">
        <w:rPr>
          <w:sz w:val="22"/>
          <w:szCs w:val="22"/>
        </w:rPr>
        <w:t xml:space="preserve">locha se zbytkovou koncentrací </w:t>
      </w:r>
      <w:r w:rsidR="00063FE1" w:rsidRPr="000E7DCF">
        <w:rPr>
          <w:sz w:val="22"/>
          <w:szCs w:val="22"/>
        </w:rPr>
        <w:t xml:space="preserve">dosahovat hodnot </w:t>
      </w:r>
      <w:r w:rsidR="003344DA" w:rsidRPr="000E7DCF">
        <w:rPr>
          <w:sz w:val="22"/>
          <w:szCs w:val="22"/>
        </w:rPr>
        <w:t xml:space="preserve">v rozmezí </w:t>
      </w:r>
      <w:r w:rsidR="00063FE1" w:rsidRPr="000E7DCF">
        <w:rPr>
          <w:sz w:val="22"/>
          <w:szCs w:val="22"/>
        </w:rPr>
        <w:t>1 - 15</w:t>
      </w:r>
      <w:r w:rsidR="003344DA" w:rsidRPr="000E7DCF">
        <w:rPr>
          <w:sz w:val="22"/>
          <w:szCs w:val="22"/>
        </w:rPr>
        <w:t xml:space="preserve"> µg/l</w:t>
      </w:r>
      <w:r w:rsidR="00063FE1" w:rsidRPr="000E7DCF">
        <w:rPr>
          <w:sz w:val="22"/>
          <w:szCs w:val="22"/>
        </w:rPr>
        <w:t xml:space="preserve"> pro</w:t>
      </w:r>
      <w:r w:rsidR="003344DA" w:rsidRPr="000E7DCF">
        <w:rPr>
          <w:sz w:val="22"/>
          <w:szCs w:val="22"/>
        </w:rPr>
        <w:t xml:space="preserve"> PCE </w:t>
      </w:r>
      <w:r w:rsidR="0036675D" w:rsidRPr="000E7DCF">
        <w:rPr>
          <w:sz w:val="22"/>
          <w:szCs w:val="22"/>
        </w:rPr>
        <w:t>.</w:t>
      </w:r>
      <w:r w:rsidR="003F2D45" w:rsidRPr="000E7DCF">
        <w:rPr>
          <w:sz w:val="22"/>
          <w:szCs w:val="22"/>
        </w:rPr>
        <w:t xml:space="preserve"> V horizontu 10 let se dle simulace nebude v oblasti nového závodu vyskytovat podzemní voda </w:t>
      </w:r>
      <w:r w:rsidR="00063FE1" w:rsidRPr="000E7DCF">
        <w:rPr>
          <w:sz w:val="22"/>
          <w:szCs w:val="22"/>
        </w:rPr>
        <w:t>přesahující 15</w:t>
      </w:r>
      <w:r w:rsidR="003F2D45" w:rsidRPr="000E7DCF">
        <w:rPr>
          <w:sz w:val="22"/>
          <w:szCs w:val="22"/>
        </w:rPr>
        <w:t xml:space="preserve"> µg/l PCE</w:t>
      </w:r>
      <w:r w:rsidR="0036675D" w:rsidRPr="000E7DCF">
        <w:rPr>
          <w:sz w:val="22"/>
          <w:szCs w:val="22"/>
        </w:rPr>
        <w:t>.</w:t>
      </w:r>
    </w:p>
    <w:p w:rsidR="003F2D45" w:rsidRPr="000E7DCF" w:rsidRDefault="003F2D45" w:rsidP="00C72EBB">
      <w:pPr>
        <w:numPr>
          <w:ilvl w:val="0"/>
          <w:numId w:val="6"/>
        </w:numPr>
        <w:spacing w:before="120"/>
        <w:ind w:left="714" w:hanging="357"/>
        <w:jc w:val="both"/>
        <w:rPr>
          <w:sz w:val="22"/>
          <w:szCs w:val="22"/>
        </w:rPr>
      </w:pPr>
      <w:r w:rsidRPr="000E7DCF">
        <w:rPr>
          <w:sz w:val="22"/>
          <w:szCs w:val="22"/>
        </w:rPr>
        <w:t>Celková bilance PCE v období 10 let simulace klesne</w:t>
      </w:r>
      <w:r w:rsidR="00C72EBB" w:rsidRPr="000E7DCF">
        <w:rPr>
          <w:sz w:val="22"/>
          <w:szCs w:val="22"/>
        </w:rPr>
        <w:t xml:space="preserve"> o</w:t>
      </w:r>
      <w:r w:rsidR="0020646D" w:rsidRPr="000E7DCF">
        <w:rPr>
          <w:sz w:val="22"/>
          <w:szCs w:val="22"/>
        </w:rPr>
        <w:t xml:space="preserve"> cca 35</w:t>
      </w:r>
      <w:r w:rsidRPr="000E7DCF">
        <w:rPr>
          <w:sz w:val="22"/>
          <w:szCs w:val="22"/>
        </w:rPr>
        <w:t xml:space="preserve"> % z hodnoty </w:t>
      </w:r>
      <w:r w:rsidR="00C72EBB" w:rsidRPr="000E7DCF">
        <w:rPr>
          <w:sz w:val="22"/>
          <w:szCs w:val="22"/>
        </w:rPr>
        <w:t>480</w:t>
      </w:r>
      <w:r w:rsidRPr="000E7DCF">
        <w:rPr>
          <w:sz w:val="22"/>
          <w:szCs w:val="22"/>
        </w:rPr>
        <w:t xml:space="preserve"> kg na 3</w:t>
      </w:r>
      <w:r w:rsidR="00063FE1" w:rsidRPr="000E7DCF">
        <w:rPr>
          <w:sz w:val="22"/>
          <w:szCs w:val="22"/>
        </w:rPr>
        <w:t>2</w:t>
      </w:r>
      <w:r w:rsidR="00C72EBB" w:rsidRPr="000E7DCF">
        <w:rPr>
          <w:sz w:val="22"/>
          <w:szCs w:val="22"/>
        </w:rPr>
        <w:t>6</w:t>
      </w:r>
      <w:r w:rsidRPr="000E7DCF">
        <w:rPr>
          <w:sz w:val="22"/>
          <w:szCs w:val="22"/>
        </w:rPr>
        <w:t xml:space="preserve"> kg</w:t>
      </w:r>
      <w:r w:rsidR="0036675D" w:rsidRPr="000E7DCF">
        <w:rPr>
          <w:sz w:val="22"/>
          <w:szCs w:val="22"/>
        </w:rPr>
        <w:t xml:space="preserve">. Aktuální modelové zpracování upřesnilo prognózovanou bilanci na nižší úrovni (vliv sanace nesaturované zóny </w:t>
      </w:r>
      <w:r w:rsidR="00C72EBB" w:rsidRPr="000E7DCF">
        <w:rPr>
          <w:sz w:val="22"/>
          <w:szCs w:val="22"/>
        </w:rPr>
        <w:t>v letech 2013 – 2014</w:t>
      </w:r>
      <w:r w:rsidR="0036675D" w:rsidRPr="000E7DCF">
        <w:rPr>
          <w:sz w:val="22"/>
          <w:szCs w:val="22"/>
        </w:rPr>
        <w:t>).</w:t>
      </w:r>
    </w:p>
    <w:p w:rsidR="007B1401" w:rsidRPr="000E7DCF" w:rsidRDefault="00E43C40" w:rsidP="00192350">
      <w:pPr>
        <w:numPr>
          <w:ilvl w:val="0"/>
          <w:numId w:val="6"/>
        </w:numPr>
        <w:spacing w:before="120"/>
        <w:ind w:left="714" w:hanging="357"/>
        <w:jc w:val="both"/>
        <w:rPr>
          <w:sz w:val="22"/>
          <w:szCs w:val="22"/>
        </w:rPr>
      </w:pPr>
      <w:r w:rsidRPr="000E7DCF">
        <w:rPr>
          <w:sz w:val="22"/>
          <w:szCs w:val="22"/>
        </w:rPr>
        <w:t xml:space="preserve">Modelová simulace představuje oproti skutečnosti velice zjednodušené </w:t>
      </w:r>
      <w:r w:rsidR="008B5BB2" w:rsidRPr="000E7DCF">
        <w:rPr>
          <w:sz w:val="22"/>
          <w:szCs w:val="22"/>
        </w:rPr>
        <w:t xml:space="preserve">zvodnělé </w:t>
      </w:r>
      <w:r w:rsidRPr="000E7DCF">
        <w:rPr>
          <w:sz w:val="22"/>
          <w:szCs w:val="22"/>
        </w:rPr>
        <w:t>horninové prostředí</w:t>
      </w:r>
      <w:r w:rsidR="00DC7746" w:rsidRPr="000E7DCF">
        <w:rPr>
          <w:sz w:val="22"/>
          <w:szCs w:val="22"/>
        </w:rPr>
        <w:t>;</w:t>
      </w:r>
      <w:r w:rsidRPr="000E7DCF">
        <w:rPr>
          <w:sz w:val="22"/>
          <w:szCs w:val="22"/>
        </w:rPr>
        <w:t xml:space="preserve"> </w:t>
      </w:r>
      <w:r w:rsidR="00DC7746" w:rsidRPr="000E7DCF">
        <w:rPr>
          <w:sz w:val="22"/>
          <w:szCs w:val="22"/>
        </w:rPr>
        <w:t>u</w:t>
      </w:r>
      <w:r w:rsidR="00875F8B" w:rsidRPr="000E7DCF">
        <w:rPr>
          <w:sz w:val="22"/>
          <w:szCs w:val="22"/>
        </w:rPr>
        <w:t>pozorňuji</w:t>
      </w:r>
      <w:r w:rsidRPr="000E7DCF">
        <w:rPr>
          <w:sz w:val="22"/>
          <w:szCs w:val="22"/>
        </w:rPr>
        <w:t xml:space="preserve">, že </w:t>
      </w:r>
      <w:r w:rsidR="00875F8B" w:rsidRPr="000E7DCF">
        <w:rPr>
          <w:sz w:val="22"/>
          <w:szCs w:val="22"/>
        </w:rPr>
        <w:t>se zájmová oblast</w:t>
      </w:r>
      <w:r w:rsidR="002D173F" w:rsidRPr="000E7DCF">
        <w:rPr>
          <w:sz w:val="22"/>
          <w:szCs w:val="22"/>
        </w:rPr>
        <w:t xml:space="preserve"> nachází v historicky </w:t>
      </w:r>
      <w:r w:rsidR="002F1642" w:rsidRPr="000E7DCF">
        <w:rPr>
          <w:sz w:val="22"/>
          <w:szCs w:val="22"/>
        </w:rPr>
        <w:t xml:space="preserve">využívaném průmyslovém území, </w:t>
      </w:r>
      <w:r w:rsidR="00531EEE" w:rsidRPr="000E7DCF">
        <w:rPr>
          <w:sz w:val="22"/>
          <w:szCs w:val="22"/>
        </w:rPr>
        <w:t>v kterém můžou fungovat preferenční cesty proudění pro transfer kontaminantu</w:t>
      </w:r>
      <w:r w:rsidR="00DC7746" w:rsidRPr="000E7DCF">
        <w:rPr>
          <w:sz w:val="22"/>
          <w:szCs w:val="22"/>
        </w:rPr>
        <w:t>;</w:t>
      </w:r>
      <w:r w:rsidR="00531EEE" w:rsidRPr="000E7DCF">
        <w:rPr>
          <w:sz w:val="22"/>
          <w:szCs w:val="22"/>
        </w:rPr>
        <w:t xml:space="preserve"> </w:t>
      </w:r>
      <w:r w:rsidR="00DC7746" w:rsidRPr="000E7DCF">
        <w:rPr>
          <w:sz w:val="22"/>
          <w:szCs w:val="22"/>
        </w:rPr>
        <w:t>m</w:t>
      </w:r>
      <w:r w:rsidR="0009204A" w:rsidRPr="000E7DCF">
        <w:rPr>
          <w:sz w:val="22"/>
          <w:szCs w:val="22"/>
        </w:rPr>
        <w:t xml:space="preserve">odelové řešení využívá pro své výpočty schematizaci horninového prostředí, a proto se prognózy mohou od reálného vývoje </w:t>
      </w:r>
      <w:r w:rsidR="00E861B9" w:rsidRPr="000E7DCF">
        <w:rPr>
          <w:sz w:val="22"/>
          <w:szCs w:val="22"/>
        </w:rPr>
        <w:t xml:space="preserve">poněkud </w:t>
      </w:r>
      <w:r w:rsidR="0009204A" w:rsidRPr="000E7DCF">
        <w:rPr>
          <w:sz w:val="22"/>
          <w:szCs w:val="22"/>
        </w:rPr>
        <w:t>lišit.</w:t>
      </w:r>
    </w:p>
    <w:p w:rsidR="00081B43" w:rsidRPr="000E7DCF" w:rsidRDefault="00081B43" w:rsidP="0083359F"/>
    <w:p w:rsidR="00081B43" w:rsidRPr="000E7DCF" w:rsidRDefault="00081B43" w:rsidP="00081B43">
      <w:pPr>
        <w:pStyle w:val="Zkladntext"/>
        <w:spacing w:before="120" w:after="120"/>
        <w:jc w:val="both"/>
        <w:rPr>
          <w:i w:val="0"/>
          <w:sz w:val="24"/>
          <w:szCs w:val="24"/>
        </w:rPr>
      </w:pPr>
      <w:r w:rsidRPr="000E7DCF">
        <w:rPr>
          <w:i w:val="0"/>
          <w:sz w:val="24"/>
          <w:szCs w:val="24"/>
        </w:rPr>
        <w:t>Doporučení</w:t>
      </w:r>
    </w:p>
    <w:p w:rsidR="005C33C0" w:rsidRPr="00CD7417" w:rsidRDefault="00677C3F" w:rsidP="00975218">
      <w:pPr>
        <w:spacing w:before="120"/>
        <w:ind w:left="714"/>
        <w:jc w:val="both"/>
        <w:rPr>
          <w:sz w:val="22"/>
          <w:szCs w:val="22"/>
        </w:rPr>
      </w:pPr>
      <w:r w:rsidRPr="000E7DCF">
        <w:rPr>
          <w:sz w:val="22"/>
          <w:szCs w:val="22"/>
        </w:rPr>
        <w:t>Vzhledem k nízkým hodnotám koncentrací PCE v prostoru o</w:t>
      </w:r>
      <w:r w:rsidR="00C72EBB" w:rsidRPr="000E7DCF">
        <w:rPr>
          <w:sz w:val="22"/>
          <w:szCs w:val="22"/>
        </w:rPr>
        <w:t>hniska a jeho okolí</w:t>
      </w:r>
      <w:r w:rsidRPr="000E7DCF">
        <w:rPr>
          <w:sz w:val="22"/>
          <w:szCs w:val="22"/>
        </w:rPr>
        <w:t xml:space="preserve"> pod hranici 2</w:t>
      </w:r>
      <w:r w:rsidR="0036675D" w:rsidRPr="000E7DCF">
        <w:rPr>
          <w:sz w:val="22"/>
          <w:szCs w:val="22"/>
        </w:rPr>
        <w:t>0 µg/l,</w:t>
      </w:r>
      <w:r w:rsidR="00C72EBB" w:rsidRPr="000E7DCF">
        <w:rPr>
          <w:sz w:val="22"/>
          <w:szCs w:val="22"/>
        </w:rPr>
        <w:t xml:space="preserve"> doporučujeme provádět postsanační monitoring za účelem zjištění případně zvýšených hodnot koncentrací blížících se sanačním limitům</w:t>
      </w:r>
      <w:r w:rsidR="00975218" w:rsidRPr="000E7DCF">
        <w:rPr>
          <w:sz w:val="22"/>
          <w:szCs w:val="22"/>
        </w:rPr>
        <w:t>.</w:t>
      </w:r>
    </w:p>
    <w:p w:rsidR="00DC5F9A" w:rsidRPr="009531CC" w:rsidRDefault="005A44E7" w:rsidP="0083359F">
      <w:r w:rsidRPr="009531CC">
        <w:br w:type="page"/>
      </w:r>
      <w:r w:rsidR="00703E68" w:rsidRPr="009531CC">
        <w:lastRenderedPageBreak/>
        <w:t>Použitá literatura</w:t>
      </w:r>
      <w:r w:rsidR="00655C66" w:rsidRPr="009531CC">
        <w:t>:</w:t>
      </w:r>
    </w:p>
    <w:p w:rsidR="0083359F" w:rsidRPr="009531CC" w:rsidRDefault="0083359F" w:rsidP="0083359F">
      <w:pPr>
        <w:rPr>
          <w:sz w:val="20"/>
          <w:szCs w:val="20"/>
        </w:rPr>
      </w:pPr>
    </w:p>
    <w:p w:rsidR="00904A82" w:rsidRDefault="00904A82" w:rsidP="008B3061">
      <w:pPr>
        <w:numPr>
          <w:ilvl w:val="0"/>
          <w:numId w:val="16"/>
        </w:numPr>
        <w:spacing w:before="60"/>
        <w:ind w:left="714" w:hanging="357"/>
        <w:jc w:val="both"/>
        <w:rPr>
          <w:sz w:val="20"/>
          <w:szCs w:val="20"/>
        </w:rPr>
      </w:pPr>
      <w:r w:rsidRPr="00904A82">
        <w:rPr>
          <w:sz w:val="20"/>
          <w:szCs w:val="20"/>
        </w:rPr>
        <w:t>Uhlík J. et al., (20</w:t>
      </w:r>
      <w:r>
        <w:rPr>
          <w:sz w:val="20"/>
          <w:szCs w:val="20"/>
        </w:rPr>
        <w:t>10</w:t>
      </w:r>
      <w:r w:rsidRPr="00904A82">
        <w:rPr>
          <w:sz w:val="20"/>
          <w:szCs w:val="20"/>
        </w:rPr>
        <w:t>), Modelové hodnocení transportu chlorovaných uhlovodíku z lokality bývalého s.p.</w:t>
      </w:r>
      <w:r>
        <w:rPr>
          <w:sz w:val="20"/>
          <w:szCs w:val="20"/>
        </w:rPr>
        <w:t xml:space="preserve">, </w:t>
      </w:r>
      <w:r w:rsidRPr="00904A82">
        <w:rPr>
          <w:sz w:val="20"/>
          <w:szCs w:val="20"/>
        </w:rPr>
        <w:t>Transporta Chrudim, MS. PROGEO s.r.o.</w:t>
      </w:r>
    </w:p>
    <w:p w:rsidR="00904A82" w:rsidRDefault="00904A82" w:rsidP="008B3061">
      <w:pPr>
        <w:numPr>
          <w:ilvl w:val="0"/>
          <w:numId w:val="16"/>
        </w:numPr>
        <w:spacing w:before="60"/>
        <w:ind w:left="714" w:hanging="357"/>
        <w:jc w:val="both"/>
        <w:rPr>
          <w:sz w:val="20"/>
          <w:szCs w:val="20"/>
        </w:rPr>
      </w:pPr>
      <w:r w:rsidRPr="00904A82">
        <w:rPr>
          <w:sz w:val="20"/>
          <w:szCs w:val="20"/>
        </w:rPr>
        <w:t>Uhlík J. et al., (2009), Modelové hodnocení transportu chlorovaných uhlovodíku z lokality bývalého s.p.</w:t>
      </w:r>
      <w:r>
        <w:rPr>
          <w:sz w:val="20"/>
          <w:szCs w:val="20"/>
        </w:rPr>
        <w:t xml:space="preserve">, </w:t>
      </w:r>
      <w:r w:rsidRPr="00904A82">
        <w:rPr>
          <w:sz w:val="20"/>
          <w:szCs w:val="20"/>
        </w:rPr>
        <w:t>Transporta Chrudim, MS. PROGEO s.r.o.</w:t>
      </w:r>
    </w:p>
    <w:p w:rsidR="00904A82" w:rsidRDefault="00904A82" w:rsidP="008B3061">
      <w:pPr>
        <w:numPr>
          <w:ilvl w:val="0"/>
          <w:numId w:val="16"/>
        </w:numPr>
        <w:spacing w:before="60"/>
        <w:ind w:left="714" w:hanging="357"/>
        <w:jc w:val="both"/>
        <w:rPr>
          <w:sz w:val="20"/>
          <w:szCs w:val="20"/>
        </w:rPr>
      </w:pPr>
      <w:r w:rsidRPr="00904A82">
        <w:rPr>
          <w:sz w:val="20"/>
          <w:szCs w:val="20"/>
        </w:rPr>
        <w:t>Uhlík J. et al., (200</w:t>
      </w:r>
      <w:r>
        <w:rPr>
          <w:sz w:val="20"/>
          <w:szCs w:val="20"/>
        </w:rPr>
        <w:t>8</w:t>
      </w:r>
      <w:r w:rsidRPr="00904A82">
        <w:rPr>
          <w:sz w:val="20"/>
          <w:szCs w:val="20"/>
        </w:rPr>
        <w:t>), Modelové hodnocení transportu chlorovaných uhlovodíku z lokality bývalého s.p.</w:t>
      </w:r>
      <w:r>
        <w:rPr>
          <w:sz w:val="20"/>
          <w:szCs w:val="20"/>
        </w:rPr>
        <w:t xml:space="preserve">, </w:t>
      </w:r>
      <w:r w:rsidRPr="00904A82">
        <w:rPr>
          <w:sz w:val="20"/>
          <w:szCs w:val="20"/>
        </w:rPr>
        <w:t>Transporta Chrudim, MS. PROGEO s.r.o.</w:t>
      </w:r>
    </w:p>
    <w:p w:rsidR="00904A82" w:rsidRDefault="00904A82" w:rsidP="008B3061">
      <w:pPr>
        <w:numPr>
          <w:ilvl w:val="0"/>
          <w:numId w:val="16"/>
        </w:numPr>
        <w:spacing w:before="60"/>
        <w:ind w:left="714" w:hanging="357"/>
        <w:jc w:val="both"/>
        <w:rPr>
          <w:sz w:val="20"/>
          <w:szCs w:val="20"/>
        </w:rPr>
      </w:pPr>
      <w:r w:rsidRPr="00904A82">
        <w:rPr>
          <w:sz w:val="20"/>
          <w:szCs w:val="20"/>
        </w:rPr>
        <w:t>Uhlík J. et al., (200</w:t>
      </w:r>
      <w:r>
        <w:rPr>
          <w:sz w:val="20"/>
          <w:szCs w:val="20"/>
        </w:rPr>
        <w:t>7</w:t>
      </w:r>
      <w:r w:rsidRPr="00904A82">
        <w:rPr>
          <w:sz w:val="20"/>
          <w:szCs w:val="20"/>
        </w:rPr>
        <w:t>), Modelové hodnocení transportu chlorovaných uhlovodíku z lokality bývalého s.p.</w:t>
      </w:r>
      <w:r>
        <w:rPr>
          <w:sz w:val="20"/>
          <w:szCs w:val="20"/>
        </w:rPr>
        <w:t xml:space="preserve">, </w:t>
      </w:r>
      <w:r w:rsidRPr="00904A82">
        <w:rPr>
          <w:sz w:val="20"/>
          <w:szCs w:val="20"/>
        </w:rPr>
        <w:t>Transporta Chrudim, MS. PROGEO s.r.o.</w:t>
      </w:r>
    </w:p>
    <w:p w:rsidR="00904A82" w:rsidRPr="00904A82" w:rsidRDefault="00904A82" w:rsidP="008B3061">
      <w:pPr>
        <w:numPr>
          <w:ilvl w:val="0"/>
          <w:numId w:val="16"/>
        </w:numPr>
        <w:spacing w:before="60"/>
        <w:ind w:left="714" w:hanging="357"/>
        <w:jc w:val="both"/>
        <w:rPr>
          <w:sz w:val="20"/>
          <w:szCs w:val="20"/>
        </w:rPr>
      </w:pPr>
      <w:r w:rsidRPr="00904A82">
        <w:rPr>
          <w:sz w:val="20"/>
          <w:szCs w:val="20"/>
        </w:rPr>
        <w:t>Uhlík J. et al., (200</w:t>
      </w:r>
      <w:r>
        <w:rPr>
          <w:sz w:val="20"/>
          <w:szCs w:val="20"/>
        </w:rPr>
        <w:t>6</w:t>
      </w:r>
      <w:r w:rsidRPr="00904A82">
        <w:rPr>
          <w:sz w:val="20"/>
          <w:szCs w:val="20"/>
        </w:rPr>
        <w:t>), Modelové hodnocení transportu chlorovaných uhlovodíku z lokality bývalého s.p.</w:t>
      </w:r>
      <w:r>
        <w:rPr>
          <w:sz w:val="20"/>
          <w:szCs w:val="20"/>
        </w:rPr>
        <w:t xml:space="preserve">, </w:t>
      </w:r>
      <w:r w:rsidRPr="00904A82">
        <w:rPr>
          <w:sz w:val="20"/>
          <w:szCs w:val="20"/>
        </w:rPr>
        <w:t>Transporta Chrudim, MS. PROGEO s.r.o.</w:t>
      </w:r>
    </w:p>
    <w:p w:rsidR="009E5018" w:rsidRPr="009531CC" w:rsidRDefault="009E5018" w:rsidP="008B3061">
      <w:pPr>
        <w:numPr>
          <w:ilvl w:val="0"/>
          <w:numId w:val="16"/>
        </w:numPr>
        <w:spacing w:before="60"/>
        <w:ind w:left="714" w:hanging="357"/>
        <w:jc w:val="both"/>
        <w:rPr>
          <w:sz w:val="20"/>
          <w:szCs w:val="20"/>
        </w:rPr>
      </w:pPr>
      <w:r w:rsidRPr="009531CC">
        <w:rPr>
          <w:sz w:val="20"/>
          <w:szCs w:val="20"/>
        </w:rPr>
        <w:t>Unčovský, J. (2003): Analýza rizika a projektová dokumentace nezbytně nutných protihavarijních opatření na lokalitě bývalého s.p. Transporta Chrudim a okolí. - Vodní zdroje Ekomonitor, spol. s r. o., 1 – 216. Chrudim.</w:t>
      </w:r>
    </w:p>
    <w:p w:rsidR="00800065" w:rsidRPr="009531CC" w:rsidRDefault="00800065" w:rsidP="008B3061">
      <w:pPr>
        <w:numPr>
          <w:ilvl w:val="0"/>
          <w:numId w:val="16"/>
        </w:numPr>
        <w:spacing w:before="60"/>
        <w:ind w:left="714" w:hanging="357"/>
        <w:jc w:val="both"/>
        <w:rPr>
          <w:sz w:val="20"/>
          <w:szCs w:val="20"/>
        </w:rPr>
      </w:pPr>
      <w:r w:rsidRPr="009531CC">
        <w:rPr>
          <w:sz w:val="20"/>
          <w:szCs w:val="20"/>
        </w:rPr>
        <w:t xml:space="preserve">Unčovský, J. (2009): </w:t>
      </w:r>
      <w:r w:rsidR="009E5018" w:rsidRPr="009531CC">
        <w:rPr>
          <w:sz w:val="20"/>
          <w:szCs w:val="20"/>
        </w:rPr>
        <w:t>Sanační práce na lokalitě Transporta Chrudim. Aktualizace analýzy rizika v roce 2009. - Vodní zdroje Ekomonitor, spol. s r. o., 1 – 138. Chrudim.</w:t>
      </w:r>
    </w:p>
    <w:p w:rsidR="009E5018" w:rsidRPr="009531CC" w:rsidRDefault="009E5018" w:rsidP="008B3061">
      <w:pPr>
        <w:numPr>
          <w:ilvl w:val="0"/>
          <w:numId w:val="16"/>
        </w:numPr>
        <w:spacing w:before="60"/>
        <w:ind w:left="714" w:hanging="357"/>
        <w:jc w:val="both"/>
        <w:rPr>
          <w:sz w:val="20"/>
          <w:szCs w:val="20"/>
        </w:rPr>
      </w:pPr>
      <w:r w:rsidRPr="009531CC">
        <w:rPr>
          <w:sz w:val="20"/>
          <w:szCs w:val="20"/>
        </w:rPr>
        <w:t>Unčovský, J. (</w:t>
      </w:r>
      <w:r w:rsidR="00E7346F">
        <w:rPr>
          <w:sz w:val="20"/>
          <w:szCs w:val="20"/>
        </w:rPr>
        <w:t>2012</w:t>
      </w:r>
      <w:r w:rsidRPr="009531CC">
        <w:rPr>
          <w:sz w:val="20"/>
          <w:szCs w:val="20"/>
        </w:rPr>
        <w:t>): Sanační práce na lokalitě Transporta Chrudim. Zpráva pro kontrolní den č. 25. - Vodní zdroje Ekomonitor, spol. s r. o., 1 – 65. Chrudim.</w:t>
      </w:r>
    </w:p>
    <w:p w:rsidR="005A44E7" w:rsidRPr="009531CC" w:rsidRDefault="005A44E7" w:rsidP="008B3061">
      <w:pPr>
        <w:numPr>
          <w:ilvl w:val="0"/>
          <w:numId w:val="16"/>
        </w:numPr>
        <w:spacing w:before="60"/>
        <w:ind w:left="714" w:hanging="357"/>
        <w:jc w:val="both"/>
        <w:rPr>
          <w:sz w:val="20"/>
          <w:szCs w:val="20"/>
        </w:rPr>
      </w:pPr>
      <w:r w:rsidRPr="009531CC">
        <w:rPr>
          <w:sz w:val="20"/>
          <w:szCs w:val="20"/>
        </w:rPr>
        <w:t>Demek, J. (edit.) a kol. (1987):  Zeměpisný lexikon ČSR. Hory a nížiny. Academia. Praha.</w:t>
      </w:r>
    </w:p>
    <w:p w:rsidR="005A44E7" w:rsidRPr="009531CC" w:rsidRDefault="005A44E7" w:rsidP="008B3061">
      <w:pPr>
        <w:numPr>
          <w:ilvl w:val="0"/>
          <w:numId w:val="16"/>
        </w:numPr>
        <w:spacing w:before="60"/>
        <w:ind w:left="714" w:hanging="357"/>
        <w:jc w:val="both"/>
        <w:rPr>
          <w:sz w:val="20"/>
          <w:szCs w:val="20"/>
        </w:rPr>
      </w:pPr>
      <w:r w:rsidRPr="009531CC">
        <w:rPr>
          <w:sz w:val="20"/>
          <w:szCs w:val="20"/>
        </w:rPr>
        <w:t>Herčík, F. - Herrmann, Z. - Valečka, J. (1999):  Hydrogeologie české křídové pánve. ČGÚ. Praha.</w:t>
      </w:r>
    </w:p>
    <w:p w:rsidR="005A44E7" w:rsidRPr="008B3061" w:rsidRDefault="005A44E7" w:rsidP="008B3061">
      <w:pPr>
        <w:numPr>
          <w:ilvl w:val="0"/>
          <w:numId w:val="16"/>
        </w:numPr>
        <w:spacing w:before="60"/>
        <w:ind w:left="714" w:hanging="357"/>
        <w:jc w:val="both"/>
        <w:rPr>
          <w:sz w:val="20"/>
          <w:szCs w:val="20"/>
        </w:rPr>
      </w:pPr>
      <w:r w:rsidRPr="008B3061">
        <w:rPr>
          <w:sz w:val="20"/>
          <w:szCs w:val="20"/>
        </w:rPr>
        <w:t>Olmer, M. - Herrmann, Z. - Kadlecová, R. - Prchalová, H. et al. (2006):  Hydrogeologická rajonizace České republiky. Sbor. geolog. věd, Hydrogeolog. inž. geolog., 23. ČGS. Praha.</w:t>
      </w:r>
    </w:p>
    <w:p w:rsidR="00D369E4" w:rsidRPr="008B3061" w:rsidRDefault="00D369E4" w:rsidP="008B3061">
      <w:pPr>
        <w:numPr>
          <w:ilvl w:val="0"/>
          <w:numId w:val="16"/>
        </w:numPr>
        <w:spacing w:before="60"/>
        <w:ind w:left="714" w:hanging="357"/>
        <w:jc w:val="both"/>
        <w:rPr>
          <w:sz w:val="20"/>
          <w:szCs w:val="20"/>
        </w:rPr>
      </w:pPr>
      <w:r w:rsidRPr="008B3061">
        <w:rPr>
          <w:sz w:val="20"/>
          <w:szCs w:val="20"/>
        </w:rPr>
        <w:t>Dobiáš, V. (201</w:t>
      </w:r>
      <w:r w:rsidR="008B3061" w:rsidRPr="008B3061">
        <w:rPr>
          <w:sz w:val="20"/>
          <w:szCs w:val="20"/>
        </w:rPr>
        <w:t>1</w:t>
      </w:r>
      <w:r w:rsidRPr="008B3061">
        <w:rPr>
          <w:sz w:val="20"/>
          <w:szCs w:val="20"/>
        </w:rPr>
        <w:t>):</w:t>
      </w:r>
      <w:r w:rsidR="008B3061" w:rsidRPr="008B3061">
        <w:rPr>
          <w:sz w:val="20"/>
          <w:szCs w:val="20"/>
        </w:rPr>
        <w:t xml:space="preserve"> Transporta Chrudim - nový závod, modelové řešení proudění podzemních vod a transportu chlorovaných uhlovodíků za rok 2010. Vodní zdroje Ekomonitor, spol. s r.o., Chrudim.</w:t>
      </w:r>
    </w:p>
    <w:p w:rsidR="00D369E4" w:rsidRPr="008B3061" w:rsidRDefault="00D369E4" w:rsidP="008B3061">
      <w:pPr>
        <w:numPr>
          <w:ilvl w:val="0"/>
          <w:numId w:val="16"/>
        </w:numPr>
        <w:spacing w:before="60"/>
        <w:ind w:left="714" w:hanging="357"/>
        <w:jc w:val="both"/>
        <w:rPr>
          <w:sz w:val="20"/>
          <w:szCs w:val="20"/>
        </w:rPr>
      </w:pPr>
      <w:r w:rsidRPr="008B3061">
        <w:rPr>
          <w:sz w:val="20"/>
          <w:szCs w:val="20"/>
        </w:rPr>
        <w:t>Dobiáš, V. (201</w:t>
      </w:r>
      <w:r w:rsidR="008B3061" w:rsidRPr="008B3061">
        <w:rPr>
          <w:sz w:val="20"/>
          <w:szCs w:val="20"/>
        </w:rPr>
        <w:t>2</w:t>
      </w:r>
      <w:r w:rsidRPr="008B3061">
        <w:rPr>
          <w:sz w:val="20"/>
          <w:szCs w:val="20"/>
        </w:rPr>
        <w:t>):</w:t>
      </w:r>
      <w:r w:rsidR="008B3061" w:rsidRPr="008B3061">
        <w:rPr>
          <w:sz w:val="20"/>
          <w:szCs w:val="20"/>
        </w:rPr>
        <w:t xml:space="preserve"> Transporta Chrudim - nový závod, modelové řešení proudění podzemních vod a transportu chlorovaných uhlovodíků za rok 2011. Vodní zdroje Ekomonitor, spol. s r.o., Chrudim.</w:t>
      </w:r>
    </w:p>
    <w:p w:rsidR="006E0499" w:rsidRDefault="006E0499" w:rsidP="006E0499">
      <w:pPr>
        <w:numPr>
          <w:ilvl w:val="0"/>
          <w:numId w:val="16"/>
        </w:numPr>
        <w:spacing w:before="60"/>
        <w:ind w:left="714" w:hanging="357"/>
        <w:jc w:val="both"/>
        <w:rPr>
          <w:sz w:val="20"/>
          <w:szCs w:val="20"/>
        </w:rPr>
      </w:pPr>
      <w:r w:rsidRPr="008B3061">
        <w:rPr>
          <w:sz w:val="20"/>
          <w:szCs w:val="20"/>
        </w:rPr>
        <w:t>Dobiáš, V. (201</w:t>
      </w:r>
      <w:r>
        <w:rPr>
          <w:sz w:val="20"/>
          <w:szCs w:val="20"/>
        </w:rPr>
        <w:t>3</w:t>
      </w:r>
      <w:r w:rsidRPr="008B3061">
        <w:rPr>
          <w:sz w:val="20"/>
          <w:szCs w:val="20"/>
        </w:rPr>
        <w:t>): Transporta Chrudim - nový závod, modelové řešení proudění podzemních vod a transportu chlorovaných uhlovodíků za rok 201</w:t>
      </w:r>
      <w:r>
        <w:rPr>
          <w:sz w:val="20"/>
          <w:szCs w:val="20"/>
        </w:rPr>
        <w:t>2</w:t>
      </w:r>
      <w:r w:rsidRPr="008B3061">
        <w:rPr>
          <w:sz w:val="20"/>
          <w:szCs w:val="20"/>
        </w:rPr>
        <w:t>. Vodní zdroje Ekomonitor, spol. s r.o., Chrudim.</w:t>
      </w:r>
    </w:p>
    <w:p w:rsidR="007703C1" w:rsidRDefault="007703C1" w:rsidP="007703C1">
      <w:pPr>
        <w:numPr>
          <w:ilvl w:val="0"/>
          <w:numId w:val="16"/>
        </w:numPr>
        <w:spacing w:before="60"/>
        <w:ind w:left="714" w:hanging="357"/>
        <w:jc w:val="both"/>
        <w:rPr>
          <w:sz w:val="20"/>
          <w:szCs w:val="20"/>
        </w:rPr>
      </w:pPr>
      <w:r w:rsidRPr="008B3061">
        <w:rPr>
          <w:sz w:val="20"/>
          <w:szCs w:val="20"/>
        </w:rPr>
        <w:t>Dobiáš, V. (201</w:t>
      </w:r>
      <w:r>
        <w:rPr>
          <w:sz w:val="20"/>
          <w:szCs w:val="20"/>
        </w:rPr>
        <w:t>4</w:t>
      </w:r>
      <w:r w:rsidRPr="008B3061">
        <w:rPr>
          <w:sz w:val="20"/>
          <w:szCs w:val="20"/>
        </w:rPr>
        <w:t>): Transporta Chrudim - nový závod, modelové řešení proudění podzemních vod a transportu chlorovaných uhlovodíků za rok 201</w:t>
      </w:r>
      <w:r>
        <w:rPr>
          <w:sz w:val="20"/>
          <w:szCs w:val="20"/>
        </w:rPr>
        <w:t>3</w:t>
      </w:r>
      <w:r w:rsidRPr="008B3061">
        <w:rPr>
          <w:sz w:val="20"/>
          <w:szCs w:val="20"/>
        </w:rPr>
        <w:t>. Vodní zdroje Ekomonitor, spol. s r.o., Chrudim.</w:t>
      </w:r>
    </w:p>
    <w:p w:rsidR="00975218" w:rsidRPr="008B3061" w:rsidRDefault="00AA541A" w:rsidP="00975218">
      <w:pPr>
        <w:numPr>
          <w:ilvl w:val="0"/>
          <w:numId w:val="16"/>
        </w:numPr>
        <w:spacing w:before="60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Dobiáš, V</w:t>
      </w:r>
      <w:r w:rsidR="00975218" w:rsidRPr="008B3061">
        <w:rPr>
          <w:sz w:val="20"/>
          <w:szCs w:val="20"/>
        </w:rPr>
        <w:t>. (201</w:t>
      </w:r>
      <w:r>
        <w:rPr>
          <w:sz w:val="20"/>
          <w:szCs w:val="20"/>
        </w:rPr>
        <w:t>5</w:t>
      </w:r>
      <w:r w:rsidR="00975218" w:rsidRPr="008B3061">
        <w:rPr>
          <w:sz w:val="20"/>
          <w:szCs w:val="20"/>
        </w:rPr>
        <w:t>): Transporta Chrudim - nový závod, modelové řešení proudění podzemních vod a transportu chlorovaných uhlovodíků za rok 201</w:t>
      </w:r>
      <w:r w:rsidR="00975218">
        <w:rPr>
          <w:sz w:val="20"/>
          <w:szCs w:val="20"/>
        </w:rPr>
        <w:t>4</w:t>
      </w:r>
      <w:r w:rsidR="00975218" w:rsidRPr="008B3061">
        <w:rPr>
          <w:sz w:val="20"/>
          <w:szCs w:val="20"/>
        </w:rPr>
        <w:t>. Vodní zdroje Ekomonitor, spol. s r.o., Chrudim.</w:t>
      </w:r>
    </w:p>
    <w:p w:rsidR="00AA541A" w:rsidRPr="00AA541A" w:rsidRDefault="00AA541A" w:rsidP="00AA541A">
      <w:pPr>
        <w:numPr>
          <w:ilvl w:val="0"/>
          <w:numId w:val="16"/>
        </w:numPr>
        <w:spacing w:before="60"/>
        <w:ind w:left="714" w:hanging="357"/>
        <w:jc w:val="both"/>
        <w:rPr>
          <w:sz w:val="20"/>
          <w:szCs w:val="20"/>
        </w:rPr>
      </w:pPr>
      <w:r>
        <w:rPr>
          <w:sz w:val="20"/>
          <w:szCs w:val="20"/>
        </w:rPr>
        <w:t>Borovský, O</w:t>
      </w:r>
      <w:r w:rsidRPr="008B3061">
        <w:rPr>
          <w:sz w:val="20"/>
          <w:szCs w:val="20"/>
        </w:rPr>
        <w:t>. (201</w:t>
      </w:r>
      <w:r>
        <w:rPr>
          <w:sz w:val="20"/>
          <w:szCs w:val="20"/>
        </w:rPr>
        <w:t>6</w:t>
      </w:r>
      <w:r w:rsidRPr="008B3061">
        <w:rPr>
          <w:sz w:val="20"/>
          <w:szCs w:val="20"/>
        </w:rPr>
        <w:t>): Transporta Chrudim - nový závod, modelové řešení proudění podzemních vod a transportu chlorovaných uhlovodíků za rok 201</w:t>
      </w:r>
      <w:r>
        <w:rPr>
          <w:sz w:val="20"/>
          <w:szCs w:val="20"/>
        </w:rPr>
        <w:t>5</w:t>
      </w:r>
      <w:r w:rsidRPr="008B3061">
        <w:rPr>
          <w:sz w:val="20"/>
          <w:szCs w:val="20"/>
        </w:rPr>
        <w:t>. Vodní zdroje Ekomonitor, spol. s r.o., Chrudim.</w:t>
      </w:r>
    </w:p>
    <w:p w:rsidR="00975218" w:rsidRPr="008B3061" w:rsidRDefault="00975218" w:rsidP="00975218">
      <w:pPr>
        <w:spacing w:before="60"/>
        <w:ind w:left="357"/>
        <w:jc w:val="both"/>
        <w:rPr>
          <w:sz w:val="20"/>
          <w:szCs w:val="20"/>
        </w:rPr>
      </w:pPr>
    </w:p>
    <w:p w:rsidR="007703C1" w:rsidRPr="008B3061" w:rsidRDefault="007703C1" w:rsidP="007703C1">
      <w:pPr>
        <w:spacing w:before="60"/>
        <w:ind w:left="357"/>
        <w:jc w:val="both"/>
        <w:rPr>
          <w:sz w:val="20"/>
          <w:szCs w:val="20"/>
        </w:rPr>
      </w:pPr>
    </w:p>
    <w:p w:rsidR="00CE0D58" w:rsidRPr="009531CC" w:rsidRDefault="00CE0D58" w:rsidP="00CD6514">
      <w:pPr>
        <w:pStyle w:val="Zkladntextodsazen"/>
        <w:spacing w:before="60"/>
        <w:ind w:left="357" w:firstLine="0"/>
        <w:jc w:val="left"/>
        <w:rPr>
          <w:sz w:val="20"/>
        </w:rPr>
      </w:pPr>
    </w:p>
    <w:p w:rsidR="0048295C" w:rsidRPr="009531CC" w:rsidRDefault="0048295C" w:rsidP="00DC5F9A">
      <w:pPr>
        <w:pStyle w:val="Zkladntext"/>
        <w:rPr>
          <w:bCs/>
          <w:i w:val="0"/>
          <w:sz w:val="24"/>
          <w:szCs w:val="24"/>
        </w:rPr>
      </w:pPr>
    </w:p>
    <w:p w:rsidR="0048295C" w:rsidRPr="009531CC" w:rsidRDefault="0048295C" w:rsidP="00DC5F9A">
      <w:pPr>
        <w:pStyle w:val="Zkladntext"/>
        <w:rPr>
          <w:bCs/>
          <w:i w:val="0"/>
          <w:sz w:val="24"/>
          <w:szCs w:val="24"/>
        </w:rPr>
      </w:pPr>
    </w:p>
    <w:p w:rsidR="00DC5F9A" w:rsidRPr="009531CC" w:rsidRDefault="00DC5F9A" w:rsidP="00DC5F9A">
      <w:pPr>
        <w:pStyle w:val="Zkladntext"/>
        <w:rPr>
          <w:bCs/>
          <w:i w:val="0"/>
          <w:sz w:val="24"/>
          <w:szCs w:val="24"/>
        </w:rPr>
      </w:pPr>
    </w:p>
    <w:sectPr w:rsidR="00DC5F9A" w:rsidRPr="009531CC" w:rsidSect="003D5550">
      <w:headerReference w:type="default" r:id="rId18"/>
      <w:footerReference w:type="even" r:id="rId19"/>
      <w:footerReference w:type="default" r:id="rId20"/>
      <w:pgSz w:w="11906" w:h="16838" w:code="9"/>
      <w:pgMar w:top="1418" w:right="1106" w:bottom="1418" w:left="1418" w:header="709" w:footer="709" w:gutter="0"/>
      <w:pgNumType w:start="1"/>
      <w:cols w:space="708" w:equalWidth="0">
        <w:col w:w="9382" w:space="708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DCF" w:rsidRDefault="00065DCF">
      <w:r>
        <w:separator/>
      </w:r>
    </w:p>
  </w:endnote>
  <w:endnote w:type="continuationSeparator" w:id="0">
    <w:p w:rsidR="00065DCF" w:rsidRDefault="00065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073" w:rsidRDefault="007B507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B5073" w:rsidRDefault="007B507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073" w:rsidRDefault="007B5073">
    <w:pPr>
      <w:pStyle w:val="Zpat"/>
      <w:framePr w:wrap="around" w:vAnchor="text" w:hAnchor="margin" w:xAlign="center" w:y="1"/>
      <w:rPr>
        <w:rStyle w:val="slostrnky"/>
      </w:rPr>
    </w:pPr>
  </w:p>
  <w:p w:rsidR="007B5073" w:rsidRPr="003D5550" w:rsidRDefault="007B5073" w:rsidP="00DA49C5">
    <w:pPr>
      <w:pStyle w:val="Zpat"/>
      <w:jc w:val="center"/>
      <w:rPr>
        <w:i/>
        <w:sz w:val="20"/>
        <w:szCs w:val="20"/>
      </w:rPr>
    </w:pPr>
    <w:r>
      <w:rPr>
        <w:i/>
        <w:sz w:val="20"/>
        <w:szCs w:val="20"/>
      </w:rPr>
      <w:t>Transporta Chrudim – nový závod</w:t>
    </w:r>
  </w:p>
  <w:p w:rsidR="007B5073" w:rsidRDefault="007B5073" w:rsidP="00DA49C5">
    <w:pPr>
      <w:jc w:val="center"/>
      <w:rPr>
        <w:i/>
        <w:sz w:val="20"/>
        <w:szCs w:val="20"/>
      </w:rPr>
    </w:pPr>
    <w:r w:rsidRPr="003D5550">
      <w:rPr>
        <w:i/>
        <w:sz w:val="20"/>
        <w:szCs w:val="20"/>
      </w:rPr>
      <w:t xml:space="preserve">Modelové řešení proudění podzemních vod a transportu </w:t>
    </w:r>
    <w:r>
      <w:rPr>
        <w:i/>
        <w:sz w:val="20"/>
        <w:szCs w:val="20"/>
      </w:rPr>
      <w:t>chlorovaných uhlovodíků</w:t>
    </w:r>
    <w:r w:rsidRPr="003D5550">
      <w:rPr>
        <w:i/>
        <w:sz w:val="20"/>
        <w:szCs w:val="20"/>
      </w:rPr>
      <w:t xml:space="preserve"> na lokalitě, </w:t>
    </w:r>
  </w:p>
  <w:p w:rsidR="007B5073" w:rsidRPr="003D5550" w:rsidRDefault="004F6176" w:rsidP="00F44EDB">
    <w:pPr>
      <w:jc w:val="center"/>
      <w:rPr>
        <w:i/>
        <w:sz w:val="20"/>
        <w:szCs w:val="20"/>
      </w:rPr>
    </w:pPr>
    <w:r>
      <w:rPr>
        <w:i/>
        <w:sz w:val="20"/>
        <w:szCs w:val="20"/>
      </w:rPr>
      <w:t>model za rok 2016, únor 2017</w:t>
    </w:r>
  </w:p>
  <w:p w:rsidR="007B5073" w:rsidRPr="003D5550" w:rsidRDefault="007B5073">
    <w:pPr>
      <w:jc w:val="center"/>
      <w:rPr>
        <w:i/>
        <w:sz w:val="20"/>
        <w:szCs w:val="20"/>
      </w:rPr>
    </w:pPr>
    <w:r w:rsidRPr="003D5550">
      <w:rPr>
        <w:rStyle w:val="slostrnky"/>
        <w:i/>
        <w:sz w:val="20"/>
        <w:szCs w:val="20"/>
      </w:rPr>
      <w:fldChar w:fldCharType="begin"/>
    </w:r>
    <w:r w:rsidRPr="003D5550">
      <w:rPr>
        <w:rStyle w:val="slostrnky"/>
        <w:i/>
        <w:sz w:val="20"/>
        <w:szCs w:val="20"/>
      </w:rPr>
      <w:instrText xml:space="preserve"> PAGE </w:instrText>
    </w:r>
    <w:r w:rsidRPr="003D5550">
      <w:rPr>
        <w:rStyle w:val="slostrnky"/>
        <w:i/>
        <w:sz w:val="20"/>
        <w:szCs w:val="20"/>
      </w:rPr>
      <w:fldChar w:fldCharType="separate"/>
    </w:r>
    <w:r w:rsidR="00766E9C">
      <w:rPr>
        <w:rStyle w:val="slostrnky"/>
        <w:i/>
        <w:noProof/>
        <w:sz w:val="20"/>
        <w:szCs w:val="20"/>
      </w:rPr>
      <w:t>2</w:t>
    </w:r>
    <w:r w:rsidRPr="003D5550">
      <w:rPr>
        <w:rStyle w:val="slostrnky"/>
        <w:i/>
        <w:sz w:val="20"/>
        <w:szCs w:val="20"/>
      </w:rPr>
      <w:fldChar w:fldCharType="end"/>
    </w:r>
    <w:r w:rsidRPr="003D5550">
      <w:rPr>
        <w:rStyle w:val="slostrnky"/>
        <w:i/>
        <w:sz w:val="20"/>
        <w:szCs w:val="20"/>
      </w:rPr>
      <w:t xml:space="preserve"> z </w:t>
    </w:r>
    <w:r w:rsidRPr="003D5550">
      <w:rPr>
        <w:rStyle w:val="slostrnky"/>
        <w:i/>
        <w:sz w:val="20"/>
        <w:szCs w:val="20"/>
      </w:rPr>
      <w:fldChar w:fldCharType="begin"/>
    </w:r>
    <w:r w:rsidRPr="003D5550">
      <w:rPr>
        <w:rStyle w:val="slostrnky"/>
        <w:i/>
        <w:sz w:val="20"/>
        <w:szCs w:val="20"/>
      </w:rPr>
      <w:instrText xml:space="preserve"> NUMPAGES </w:instrText>
    </w:r>
    <w:r w:rsidRPr="003D5550">
      <w:rPr>
        <w:rStyle w:val="slostrnky"/>
        <w:i/>
        <w:sz w:val="20"/>
        <w:szCs w:val="20"/>
      </w:rPr>
      <w:fldChar w:fldCharType="separate"/>
    </w:r>
    <w:r w:rsidR="00766E9C">
      <w:rPr>
        <w:rStyle w:val="slostrnky"/>
        <w:i/>
        <w:noProof/>
        <w:sz w:val="20"/>
        <w:szCs w:val="20"/>
      </w:rPr>
      <w:t>16</w:t>
    </w:r>
    <w:r w:rsidRPr="003D5550">
      <w:rPr>
        <w:rStyle w:val="slostrnky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DCF" w:rsidRDefault="00065DCF">
      <w:r>
        <w:separator/>
      </w:r>
    </w:p>
  </w:footnote>
  <w:footnote w:type="continuationSeparator" w:id="0">
    <w:p w:rsidR="00065DCF" w:rsidRDefault="00065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073" w:rsidRPr="00E74FBE" w:rsidRDefault="007B5073" w:rsidP="0097255E">
    <w:pPr>
      <w:pStyle w:val="Zhlav"/>
      <w:jc w:val="center"/>
      <w:rPr>
        <w:i/>
        <w:sz w:val="20"/>
      </w:rPr>
    </w:pPr>
    <w:r w:rsidRPr="00E74FBE">
      <w:rPr>
        <w:i/>
        <w:sz w:val="20"/>
      </w:rPr>
      <w:t>Vodní zdroje Ekomonitor, spol. s r. 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25038"/>
    <w:multiLevelType w:val="multilevel"/>
    <w:tmpl w:val="7FBCE0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556"/>
        </w:tabs>
        <w:ind w:left="255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2143A0F"/>
    <w:multiLevelType w:val="hybridMultilevel"/>
    <w:tmpl w:val="24E24E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D49322">
      <w:start w:val="1"/>
      <w:numFmt w:val="decimal"/>
      <w:lvlText w:val="%2.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8475D"/>
    <w:multiLevelType w:val="hybridMultilevel"/>
    <w:tmpl w:val="0218D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023A9"/>
    <w:multiLevelType w:val="hybridMultilevel"/>
    <w:tmpl w:val="94448B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264B7"/>
    <w:multiLevelType w:val="hybridMultilevel"/>
    <w:tmpl w:val="0BF88F6E"/>
    <w:lvl w:ilvl="0" w:tplc="ECE241A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13BBC"/>
    <w:multiLevelType w:val="hybridMultilevel"/>
    <w:tmpl w:val="5456FB80"/>
    <w:lvl w:ilvl="0" w:tplc="BE4E513E">
      <w:start w:val="1"/>
      <w:numFmt w:val="bullet"/>
      <w:lvlText w:val="-"/>
      <w:lvlJc w:val="left"/>
      <w:pPr>
        <w:tabs>
          <w:tab w:val="num" w:pos="814"/>
        </w:tabs>
        <w:ind w:left="794" w:hanging="340"/>
      </w:pPr>
      <w:rPr>
        <w:rFonts w:hAnsi="Arial" w:hint="default"/>
      </w:rPr>
    </w:lvl>
    <w:lvl w:ilvl="1" w:tplc="6B7E61A6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234378DC"/>
    <w:multiLevelType w:val="hybridMultilevel"/>
    <w:tmpl w:val="C5921EE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26311D"/>
    <w:multiLevelType w:val="hybridMultilevel"/>
    <w:tmpl w:val="F60A905C"/>
    <w:lvl w:ilvl="0" w:tplc="0409000F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ECE241A2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8" w15:restartNumberingAfterBreak="0">
    <w:nsid w:val="34E50114"/>
    <w:multiLevelType w:val="hybridMultilevel"/>
    <w:tmpl w:val="01D6D85E"/>
    <w:lvl w:ilvl="0" w:tplc="F4C0FC9A">
      <w:start w:val="1"/>
      <w:numFmt w:val="bullet"/>
      <w:lvlText w:val="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894"/>
        </w:tabs>
        <w:ind w:left="1894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42004F08"/>
    <w:multiLevelType w:val="hybridMultilevel"/>
    <w:tmpl w:val="4E5EE1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B10FA7"/>
    <w:multiLevelType w:val="hybridMultilevel"/>
    <w:tmpl w:val="5524B0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A455E"/>
    <w:multiLevelType w:val="hybridMultilevel"/>
    <w:tmpl w:val="E7402C6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6389F"/>
    <w:multiLevelType w:val="hybridMultilevel"/>
    <w:tmpl w:val="F6280F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A0B2D04"/>
    <w:multiLevelType w:val="hybridMultilevel"/>
    <w:tmpl w:val="C362048C"/>
    <w:lvl w:ilvl="0" w:tplc="0405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4" w15:restartNumberingAfterBreak="0">
    <w:nsid w:val="5B9C42A0"/>
    <w:multiLevelType w:val="hybridMultilevel"/>
    <w:tmpl w:val="5F0CBA46"/>
    <w:lvl w:ilvl="0" w:tplc="ECE241A2">
      <w:start w:val="1"/>
      <w:numFmt w:val="bullet"/>
      <w:lvlText w:val="-"/>
      <w:lvlJc w:val="left"/>
      <w:pPr>
        <w:tabs>
          <w:tab w:val="num" w:pos="1074"/>
        </w:tabs>
        <w:ind w:left="107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15" w15:restartNumberingAfterBreak="0">
    <w:nsid w:val="5D4734A8"/>
    <w:multiLevelType w:val="hybridMultilevel"/>
    <w:tmpl w:val="BD6A294C"/>
    <w:lvl w:ilvl="0" w:tplc="9A12546C">
      <w:start w:val="1"/>
      <w:numFmt w:val="bullet"/>
      <w:lvlText w:val=""/>
      <w:lvlJc w:val="left"/>
      <w:pPr>
        <w:tabs>
          <w:tab w:val="num" w:pos="454"/>
        </w:tabs>
        <w:ind w:left="454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16" w15:restartNumberingAfterBreak="0">
    <w:nsid w:val="5EA1002E"/>
    <w:multiLevelType w:val="hybridMultilevel"/>
    <w:tmpl w:val="216477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0B7F0B"/>
    <w:multiLevelType w:val="hybridMultilevel"/>
    <w:tmpl w:val="5FACC170"/>
    <w:lvl w:ilvl="0" w:tplc="6B7E61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C304A"/>
    <w:multiLevelType w:val="hybridMultilevel"/>
    <w:tmpl w:val="0416FD30"/>
    <w:lvl w:ilvl="0" w:tplc="9D4292A2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DD7E14"/>
    <w:multiLevelType w:val="hybridMultilevel"/>
    <w:tmpl w:val="51D0312A"/>
    <w:lvl w:ilvl="0" w:tplc="ECE241A2">
      <w:start w:val="1"/>
      <w:numFmt w:val="bullet"/>
      <w:lvlText w:val="-"/>
      <w:lvlJc w:val="left"/>
      <w:pPr>
        <w:tabs>
          <w:tab w:val="num" w:pos="1268"/>
        </w:tabs>
        <w:ind w:left="1268" w:hanging="360"/>
      </w:pPr>
      <w:rPr>
        <w:rFonts w:ascii="Courier New" w:hAnsi="Courier New" w:hint="default"/>
      </w:rPr>
    </w:lvl>
    <w:lvl w:ilvl="1" w:tplc="04050001">
      <w:start w:val="1"/>
      <w:numFmt w:val="bullet"/>
      <w:lvlText w:val=""/>
      <w:lvlJc w:val="left"/>
      <w:pPr>
        <w:tabs>
          <w:tab w:val="num" w:pos="2348"/>
        </w:tabs>
        <w:ind w:left="2348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8"/>
        </w:tabs>
        <w:ind w:left="30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788"/>
        </w:tabs>
        <w:ind w:left="37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8"/>
        </w:tabs>
        <w:ind w:left="45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8"/>
        </w:tabs>
        <w:ind w:left="52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8"/>
        </w:tabs>
        <w:ind w:left="59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8"/>
        </w:tabs>
        <w:ind w:left="66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8"/>
        </w:tabs>
        <w:ind w:left="7388" w:hanging="360"/>
      </w:pPr>
      <w:rPr>
        <w:rFonts w:ascii="Wingdings" w:hAnsi="Wingdings" w:hint="default"/>
      </w:rPr>
    </w:lvl>
  </w:abstractNum>
  <w:abstractNum w:abstractNumId="20" w15:restartNumberingAfterBreak="0">
    <w:nsid w:val="79D35DBD"/>
    <w:multiLevelType w:val="hybridMultilevel"/>
    <w:tmpl w:val="BECC0D58"/>
    <w:lvl w:ilvl="0" w:tplc="6B7E61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C63A9B"/>
    <w:multiLevelType w:val="hybridMultilevel"/>
    <w:tmpl w:val="F828CAD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67799A"/>
    <w:multiLevelType w:val="hybridMultilevel"/>
    <w:tmpl w:val="98C2E238"/>
    <w:lvl w:ilvl="0" w:tplc="6B7E61A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B7E61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10"/>
  </w:num>
  <w:num w:numId="5">
    <w:abstractNumId w:val="16"/>
  </w:num>
  <w:num w:numId="6">
    <w:abstractNumId w:val="1"/>
  </w:num>
  <w:num w:numId="7">
    <w:abstractNumId w:val="17"/>
  </w:num>
  <w:num w:numId="8">
    <w:abstractNumId w:val="13"/>
  </w:num>
  <w:num w:numId="9">
    <w:abstractNumId w:val="11"/>
  </w:num>
  <w:num w:numId="10">
    <w:abstractNumId w:val="6"/>
  </w:num>
  <w:num w:numId="11">
    <w:abstractNumId w:val="5"/>
  </w:num>
  <w:num w:numId="12">
    <w:abstractNumId w:val="7"/>
  </w:num>
  <w:num w:numId="13">
    <w:abstractNumId w:val="19"/>
  </w:num>
  <w:num w:numId="14">
    <w:abstractNumId w:val="20"/>
  </w:num>
  <w:num w:numId="15">
    <w:abstractNumId w:val="14"/>
  </w:num>
  <w:num w:numId="16">
    <w:abstractNumId w:val="21"/>
  </w:num>
  <w:num w:numId="17">
    <w:abstractNumId w:val="22"/>
  </w:num>
  <w:num w:numId="18">
    <w:abstractNumId w:val="15"/>
  </w:num>
  <w:num w:numId="19">
    <w:abstractNumId w:val="2"/>
  </w:num>
  <w:num w:numId="20">
    <w:abstractNumId w:val="4"/>
  </w:num>
  <w:num w:numId="21">
    <w:abstractNumId w:val="3"/>
  </w:num>
  <w:num w:numId="22">
    <w:abstractNumId w:val="9"/>
  </w:num>
  <w:num w:numId="23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51E5"/>
    <w:rsid w:val="000004D5"/>
    <w:rsid w:val="000016AF"/>
    <w:rsid w:val="000021C1"/>
    <w:rsid w:val="00003363"/>
    <w:rsid w:val="00003F85"/>
    <w:rsid w:val="000048BB"/>
    <w:rsid w:val="000049A8"/>
    <w:rsid w:val="00004C00"/>
    <w:rsid w:val="00004F47"/>
    <w:rsid w:val="0000514D"/>
    <w:rsid w:val="00005652"/>
    <w:rsid w:val="00005AE0"/>
    <w:rsid w:val="00005D80"/>
    <w:rsid w:val="0000604D"/>
    <w:rsid w:val="000062C6"/>
    <w:rsid w:val="00007573"/>
    <w:rsid w:val="00007A78"/>
    <w:rsid w:val="000100EB"/>
    <w:rsid w:val="00011189"/>
    <w:rsid w:val="00011302"/>
    <w:rsid w:val="000121AF"/>
    <w:rsid w:val="000121C4"/>
    <w:rsid w:val="000141DC"/>
    <w:rsid w:val="000147BB"/>
    <w:rsid w:val="00014A4F"/>
    <w:rsid w:val="00014F3B"/>
    <w:rsid w:val="000169C2"/>
    <w:rsid w:val="0001794B"/>
    <w:rsid w:val="00017A1E"/>
    <w:rsid w:val="000206AA"/>
    <w:rsid w:val="00020DBB"/>
    <w:rsid w:val="0002179F"/>
    <w:rsid w:val="00022629"/>
    <w:rsid w:val="000234C3"/>
    <w:rsid w:val="00023D2E"/>
    <w:rsid w:val="00023E60"/>
    <w:rsid w:val="00023FC6"/>
    <w:rsid w:val="000249CE"/>
    <w:rsid w:val="00024E08"/>
    <w:rsid w:val="00024E80"/>
    <w:rsid w:val="000253F6"/>
    <w:rsid w:val="00026849"/>
    <w:rsid w:val="00026F06"/>
    <w:rsid w:val="000273C0"/>
    <w:rsid w:val="000274E1"/>
    <w:rsid w:val="00027F97"/>
    <w:rsid w:val="000306F5"/>
    <w:rsid w:val="00030B08"/>
    <w:rsid w:val="00032370"/>
    <w:rsid w:val="000323E2"/>
    <w:rsid w:val="00033AF7"/>
    <w:rsid w:val="0003405B"/>
    <w:rsid w:val="0003514A"/>
    <w:rsid w:val="00035D2D"/>
    <w:rsid w:val="00035EC1"/>
    <w:rsid w:val="0003622F"/>
    <w:rsid w:val="00036272"/>
    <w:rsid w:val="00037AF7"/>
    <w:rsid w:val="00040587"/>
    <w:rsid w:val="00040775"/>
    <w:rsid w:val="00040F02"/>
    <w:rsid w:val="00041D3E"/>
    <w:rsid w:val="000424CD"/>
    <w:rsid w:val="000437D5"/>
    <w:rsid w:val="00043BFC"/>
    <w:rsid w:val="00043E04"/>
    <w:rsid w:val="00045546"/>
    <w:rsid w:val="00046196"/>
    <w:rsid w:val="00051E27"/>
    <w:rsid w:val="000535EF"/>
    <w:rsid w:val="0005398C"/>
    <w:rsid w:val="00053D5D"/>
    <w:rsid w:val="00053E4A"/>
    <w:rsid w:val="000545D6"/>
    <w:rsid w:val="000547F1"/>
    <w:rsid w:val="00054963"/>
    <w:rsid w:val="00055E68"/>
    <w:rsid w:val="00056496"/>
    <w:rsid w:val="00057B40"/>
    <w:rsid w:val="00061A21"/>
    <w:rsid w:val="00062994"/>
    <w:rsid w:val="00063FE1"/>
    <w:rsid w:val="00063FFD"/>
    <w:rsid w:val="00064072"/>
    <w:rsid w:val="00064B5B"/>
    <w:rsid w:val="00064CFA"/>
    <w:rsid w:val="00064F8F"/>
    <w:rsid w:val="000656B8"/>
    <w:rsid w:val="00065DCF"/>
    <w:rsid w:val="0006608B"/>
    <w:rsid w:val="0006661F"/>
    <w:rsid w:val="00066B36"/>
    <w:rsid w:val="0007039A"/>
    <w:rsid w:val="000709E2"/>
    <w:rsid w:val="000714D3"/>
    <w:rsid w:val="000719D1"/>
    <w:rsid w:val="00071CE4"/>
    <w:rsid w:val="00073491"/>
    <w:rsid w:val="000738D9"/>
    <w:rsid w:val="00074073"/>
    <w:rsid w:val="000746DC"/>
    <w:rsid w:val="000756E8"/>
    <w:rsid w:val="00075A4A"/>
    <w:rsid w:val="00075A62"/>
    <w:rsid w:val="00075E40"/>
    <w:rsid w:val="00076C39"/>
    <w:rsid w:val="000773D6"/>
    <w:rsid w:val="0007793A"/>
    <w:rsid w:val="00077F2C"/>
    <w:rsid w:val="0008077B"/>
    <w:rsid w:val="000814F1"/>
    <w:rsid w:val="00081517"/>
    <w:rsid w:val="00081650"/>
    <w:rsid w:val="00081B43"/>
    <w:rsid w:val="00082EB9"/>
    <w:rsid w:val="000832D8"/>
    <w:rsid w:val="00083845"/>
    <w:rsid w:val="00083956"/>
    <w:rsid w:val="000839B4"/>
    <w:rsid w:val="00084F33"/>
    <w:rsid w:val="00085371"/>
    <w:rsid w:val="000853C2"/>
    <w:rsid w:val="00085421"/>
    <w:rsid w:val="00086DE7"/>
    <w:rsid w:val="000873F2"/>
    <w:rsid w:val="00090FBF"/>
    <w:rsid w:val="0009204A"/>
    <w:rsid w:val="00092819"/>
    <w:rsid w:val="000935CD"/>
    <w:rsid w:val="00094A5F"/>
    <w:rsid w:val="00096E3D"/>
    <w:rsid w:val="0009724D"/>
    <w:rsid w:val="000977FB"/>
    <w:rsid w:val="00097E1E"/>
    <w:rsid w:val="00097F5C"/>
    <w:rsid w:val="000A02A9"/>
    <w:rsid w:val="000A10D5"/>
    <w:rsid w:val="000A134C"/>
    <w:rsid w:val="000A1B67"/>
    <w:rsid w:val="000A1DA3"/>
    <w:rsid w:val="000A1DE6"/>
    <w:rsid w:val="000A25F1"/>
    <w:rsid w:val="000A3291"/>
    <w:rsid w:val="000A3AA9"/>
    <w:rsid w:val="000A45BE"/>
    <w:rsid w:val="000A4DA8"/>
    <w:rsid w:val="000A560B"/>
    <w:rsid w:val="000A609C"/>
    <w:rsid w:val="000A67A9"/>
    <w:rsid w:val="000A6965"/>
    <w:rsid w:val="000A6FC3"/>
    <w:rsid w:val="000A726F"/>
    <w:rsid w:val="000A74DB"/>
    <w:rsid w:val="000A7825"/>
    <w:rsid w:val="000B0783"/>
    <w:rsid w:val="000B0B98"/>
    <w:rsid w:val="000B1435"/>
    <w:rsid w:val="000B2924"/>
    <w:rsid w:val="000B361D"/>
    <w:rsid w:val="000B40BC"/>
    <w:rsid w:val="000B4C68"/>
    <w:rsid w:val="000B5F49"/>
    <w:rsid w:val="000B5F75"/>
    <w:rsid w:val="000B6734"/>
    <w:rsid w:val="000B6856"/>
    <w:rsid w:val="000B6FB6"/>
    <w:rsid w:val="000C062B"/>
    <w:rsid w:val="000C0A71"/>
    <w:rsid w:val="000C11AE"/>
    <w:rsid w:val="000C46D9"/>
    <w:rsid w:val="000C481C"/>
    <w:rsid w:val="000C4B29"/>
    <w:rsid w:val="000C4B2E"/>
    <w:rsid w:val="000C5360"/>
    <w:rsid w:val="000C56ED"/>
    <w:rsid w:val="000C5BBF"/>
    <w:rsid w:val="000C5C62"/>
    <w:rsid w:val="000C609B"/>
    <w:rsid w:val="000C7CA3"/>
    <w:rsid w:val="000D0960"/>
    <w:rsid w:val="000D14AE"/>
    <w:rsid w:val="000D1E42"/>
    <w:rsid w:val="000D4332"/>
    <w:rsid w:val="000D49E9"/>
    <w:rsid w:val="000D5C59"/>
    <w:rsid w:val="000D6BD0"/>
    <w:rsid w:val="000D7498"/>
    <w:rsid w:val="000E0136"/>
    <w:rsid w:val="000E0227"/>
    <w:rsid w:val="000E0AC6"/>
    <w:rsid w:val="000E0B0F"/>
    <w:rsid w:val="000E0F2E"/>
    <w:rsid w:val="000E2B3D"/>
    <w:rsid w:val="000E3001"/>
    <w:rsid w:val="000E30E8"/>
    <w:rsid w:val="000E3779"/>
    <w:rsid w:val="000E4E85"/>
    <w:rsid w:val="000E52CF"/>
    <w:rsid w:val="000E56FC"/>
    <w:rsid w:val="000E66C2"/>
    <w:rsid w:val="000E6E86"/>
    <w:rsid w:val="000E7217"/>
    <w:rsid w:val="000E7D47"/>
    <w:rsid w:val="000E7DCF"/>
    <w:rsid w:val="000F27D7"/>
    <w:rsid w:val="000F299B"/>
    <w:rsid w:val="000F2F4D"/>
    <w:rsid w:val="000F3C11"/>
    <w:rsid w:val="000F4638"/>
    <w:rsid w:val="000F4F5A"/>
    <w:rsid w:val="000F5663"/>
    <w:rsid w:val="000F57C4"/>
    <w:rsid w:val="000F634F"/>
    <w:rsid w:val="000F6971"/>
    <w:rsid w:val="000F7089"/>
    <w:rsid w:val="000F7A45"/>
    <w:rsid w:val="00100153"/>
    <w:rsid w:val="001005A6"/>
    <w:rsid w:val="0010083E"/>
    <w:rsid w:val="00100D78"/>
    <w:rsid w:val="00101B96"/>
    <w:rsid w:val="00102B73"/>
    <w:rsid w:val="00103883"/>
    <w:rsid w:val="00103CA8"/>
    <w:rsid w:val="0010498F"/>
    <w:rsid w:val="00104ECB"/>
    <w:rsid w:val="00105692"/>
    <w:rsid w:val="00106264"/>
    <w:rsid w:val="001065ED"/>
    <w:rsid w:val="0010709D"/>
    <w:rsid w:val="0010736C"/>
    <w:rsid w:val="00107824"/>
    <w:rsid w:val="0011084F"/>
    <w:rsid w:val="00111153"/>
    <w:rsid w:val="0011119F"/>
    <w:rsid w:val="00111252"/>
    <w:rsid w:val="00111598"/>
    <w:rsid w:val="00111922"/>
    <w:rsid w:val="0011199B"/>
    <w:rsid w:val="00111A78"/>
    <w:rsid w:val="00112215"/>
    <w:rsid w:val="001127E9"/>
    <w:rsid w:val="00112F9C"/>
    <w:rsid w:val="00113AA6"/>
    <w:rsid w:val="00114069"/>
    <w:rsid w:val="00114AFB"/>
    <w:rsid w:val="00114FF5"/>
    <w:rsid w:val="00115383"/>
    <w:rsid w:val="00115E52"/>
    <w:rsid w:val="00116849"/>
    <w:rsid w:val="00116F7D"/>
    <w:rsid w:val="00120005"/>
    <w:rsid w:val="0012059F"/>
    <w:rsid w:val="00120F0A"/>
    <w:rsid w:val="0012222A"/>
    <w:rsid w:val="00122257"/>
    <w:rsid w:val="001229C7"/>
    <w:rsid w:val="00122B74"/>
    <w:rsid w:val="00122E1C"/>
    <w:rsid w:val="00123375"/>
    <w:rsid w:val="0012510F"/>
    <w:rsid w:val="00127162"/>
    <w:rsid w:val="001279A3"/>
    <w:rsid w:val="00127B9B"/>
    <w:rsid w:val="00127DFB"/>
    <w:rsid w:val="00130C6C"/>
    <w:rsid w:val="001327CA"/>
    <w:rsid w:val="001334FE"/>
    <w:rsid w:val="00133ABD"/>
    <w:rsid w:val="0013457F"/>
    <w:rsid w:val="001348AD"/>
    <w:rsid w:val="0013564B"/>
    <w:rsid w:val="0013786B"/>
    <w:rsid w:val="001378A5"/>
    <w:rsid w:val="00137EDD"/>
    <w:rsid w:val="001432B0"/>
    <w:rsid w:val="001436C4"/>
    <w:rsid w:val="001439AB"/>
    <w:rsid w:val="00144448"/>
    <w:rsid w:val="001470D2"/>
    <w:rsid w:val="0014759F"/>
    <w:rsid w:val="00150A0A"/>
    <w:rsid w:val="001511CD"/>
    <w:rsid w:val="00151649"/>
    <w:rsid w:val="00151854"/>
    <w:rsid w:val="00151BDD"/>
    <w:rsid w:val="00152761"/>
    <w:rsid w:val="00152D9D"/>
    <w:rsid w:val="001539EE"/>
    <w:rsid w:val="001547C7"/>
    <w:rsid w:val="00156238"/>
    <w:rsid w:val="0015624D"/>
    <w:rsid w:val="0016032B"/>
    <w:rsid w:val="00160A4C"/>
    <w:rsid w:val="001615BA"/>
    <w:rsid w:val="00161A70"/>
    <w:rsid w:val="0016240E"/>
    <w:rsid w:val="0016326B"/>
    <w:rsid w:val="00164B3B"/>
    <w:rsid w:val="00165F5F"/>
    <w:rsid w:val="001661C0"/>
    <w:rsid w:val="00166A8C"/>
    <w:rsid w:val="001704A7"/>
    <w:rsid w:val="001705A4"/>
    <w:rsid w:val="0017072B"/>
    <w:rsid w:val="00170E96"/>
    <w:rsid w:val="0017135E"/>
    <w:rsid w:val="00171976"/>
    <w:rsid w:val="00171AC1"/>
    <w:rsid w:val="00171D59"/>
    <w:rsid w:val="00172611"/>
    <w:rsid w:val="0017267B"/>
    <w:rsid w:val="00175181"/>
    <w:rsid w:val="001756D6"/>
    <w:rsid w:val="00175920"/>
    <w:rsid w:val="00175E1A"/>
    <w:rsid w:val="00175E9E"/>
    <w:rsid w:val="00176290"/>
    <w:rsid w:val="00176928"/>
    <w:rsid w:val="00176B85"/>
    <w:rsid w:val="001776C2"/>
    <w:rsid w:val="001776FD"/>
    <w:rsid w:val="00177F2B"/>
    <w:rsid w:val="001810A0"/>
    <w:rsid w:val="00182095"/>
    <w:rsid w:val="00183019"/>
    <w:rsid w:val="00183563"/>
    <w:rsid w:val="001838BA"/>
    <w:rsid w:val="00184285"/>
    <w:rsid w:val="00185D5D"/>
    <w:rsid w:val="001869A1"/>
    <w:rsid w:val="00186A5E"/>
    <w:rsid w:val="00190530"/>
    <w:rsid w:val="001905B8"/>
    <w:rsid w:val="00190C49"/>
    <w:rsid w:val="00191CB1"/>
    <w:rsid w:val="00191EB7"/>
    <w:rsid w:val="00192083"/>
    <w:rsid w:val="00192303"/>
    <w:rsid w:val="00192350"/>
    <w:rsid w:val="00192F15"/>
    <w:rsid w:val="00193893"/>
    <w:rsid w:val="00193E5B"/>
    <w:rsid w:val="00193F86"/>
    <w:rsid w:val="00194545"/>
    <w:rsid w:val="001947BD"/>
    <w:rsid w:val="001949CF"/>
    <w:rsid w:val="0019562B"/>
    <w:rsid w:val="001958CB"/>
    <w:rsid w:val="001974C9"/>
    <w:rsid w:val="001A0D1C"/>
    <w:rsid w:val="001A1574"/>
    <w:rsid w:val="001A17D2"/>
    <w:rsid w:val="001A30BB"/>
    <w:rsid w:val="001A339C"/>
    <w:rsid w:val="001A381F"/>
    <w:rsid w:val="001A382A"/>
    <w:rsid w:val="001A4A31"/>
    <w:rsid w:val="001A52FD"/>
    <w:rsid w:val="001A57AA"/>
    <w:rsid w:val="001A66EA"/>
    <w:rsid w:val="001B00E3"/>
    <w:rsid w:val="001B0FDB"/>
    <w:rsid w:val="001B13F0"/>
    <w:rsid w:val="001B16AB"/>
    <w:rsid w:val="001B1D26"/>
    <w:rsid w:val="001B24CE"/>
    <w:rsid w:val="001B3B5E"/>
    <w:rsid w:val="001B50DE"/>
    <w:rsid w:val="001B54C3"/>
    <w:rsid w:val="001B5FDB"/>
    <w:rsid w:val="001B788D"/>
    <w:rsid w:val="001C0731"/>
    <w:rsid w:val="001C0834"/>
    <w:rsid w:val="001C1705"/>
    <w:rsid w:val="001C2665"/>
    <w:rsid w:val="001C314A"/>
    <w:rsid w:val="001C3FFE"/>
    <w:rsid w:val="001C47BE"/>
    <w:rsid w:val="001C4B49"/>
    <w:rsid w:val="001C5B0F"/>
    <w:rsid w:val="001C697D"/>
    <w:rsid w:val="001C71EB"/>
    <w:rsid w:val="001C7D6A"/>
    <w:rsid w:val="001D122A"/>
    <w:rsid w:val="001D12BB"/>
    <w:rsid w:val="001D3117"/>
    <w:rsid w:val="001D4693"/>
    <w:rsid w:val="001D495C"/>
    <w:rsid w:val="001D4D82"/>
    <w:rsid w:val="001D572C"/>
    <w:rsid w:val="001D7343"/>
    <w:rsid w:val="001E08CD"/>
    <w:rsid w:val="001E0BC4"/>
    <w:rsid w:val="001E0E9C"/>
    <w:rsid w:val="001E13F7"/>
    <w:rsid w:val="001E1908"/>
    <w:rsid w:val="001E2459"/>
    <w:rsid w:val="001E2F7A"/>
    <w:rsid w:val="001E3E21"/>
    <w:rsid w:val="001E3E9A"/>
    <w:rsid w:val="001E470F"/>
    <w:rsid w:val="001E48DB"/>
    <w:rsid w:val="001E49F5"/>
    <w:rsid w:val="001E4AB9"/>
    <w:rsid w:val="001E5EEB"/>
    <w:rsid w:val="001E6E85"/>
    <w:rsid w:val="001E7676"/>
    <w:rsid w:val="001E7B40"/>
    <w:rsid w:val="001F1645"/>
    <w:rsid w:val="001F1BD2"/>
    <w:rsid w:val="001F281A"/>
    <w:rsid w:val="001F2DE2"/>
    <w:rsid w:val="001F4CD7"/>
    <w:rsid w:val="001F594D"/>
    <w:rsid w:val="001F6012"/>
    <w:rsid w:val="001F6908"/>
    <w:rsid w:val="001F785F"/>
    <w:rsid w:val="001F7A6A"/>
    <w:rsid w:val="002000BB"/>
    <w:rsid w:val="00201A0F"/>
    <w:rsid w:val="00201C1F"/>
    <w:rsid w:val="00202302"/>
    <w:rsid w:val="002024D6"/>
    <w:rsid w:val="002034B5"/>
    <w:rsid w:val="00203EEE"/>
    <w:rsid w:val="002049B5"/>
    <w:rsid w:val="00205940"/>
    <w:rsid w:val="00205BF5"/>
    <w:rsid w:val="0020646D"/>
    <w:rsid w:val="002069D2"/>
    <w:rsid w:val="00207A4F"/>
    <w:rsid w:val="002108C8"/>
    <w:rsid w:val="00210D9F"/>
    <w:rsid w:val="002112BB"/>
    <w:rsid w:val="00211B98"/>
    <w:rsid w:val="002125FD"/>
    <w:rsid w:val="00213BC9"/>
    <w:rsid w:val="00214237"/>
    <w:rsid w:val="00215108"/>
    <w:rsid w:val="00215786"/>
    <w:rsid w:val="00215EB3"/>
    <w:rsid w:val="0021616B"/>
    <w:rsid w:val="002164D4"/>
    <w:rsid w:val="00216558"/>
    <w:rsid w:val="00220702"/>
    <w:rsid w:val="00220856"/>
    <w:rsid w:val="00220D7B"/>
    <w:rsid w:val="00220EBB"/>
    <w:rsid w:val="00220F05"/>
    <w:rsid w:val="00221BC9"/>
    <w:rsid w:val="00222B6F"/>
    <w:rsid w:val="002230A7"/>
    <w:rsid w:val="00224586"/>
    <w:rsid w:val="00225366"/>
    <w:rsid w:val="002268B9"/>
    <w:rsid w:val="00230088"/>
    <w:rsid w:val="00230C44"/>
    <w:rsid w:val="0023199A"/>
    <w:rsid w:val="00231D2E"/>
    <w:rsid w:val="00231ED6"/>
    <w:rsid w:val="00233367"/>
    <w:rsid w:val="00233746"/>
    <w:rsid w:val="002341BA"/>
    <w:rsid w:val="002342D8"/>
    <w:rsid w:val="0023489B"/>
    <w:rsid w:val="00234AA0"/>
    <w:rsid w:val="0023574D"/>
    <w:rsid w:val="00235F59"/>
    <w:rsid w:val="00235FE8"/>
    <w:rsid w:val="00236F12"/>
    <w:rsid w:val="00237DB4"/>
    <w:rsid w:val="00237F42"/>
    <w:rsid w:val="0024065B"/>
    <w:rsid w:val="002420CA"/>
    <w:rsid w:val="00242995"/>
    <w:rsid w:val="00243956"/>
    <w:rsid w:val="002445F0"/>
    <w:rsid w:val="00244901"/>
    <w:rsid w:val="00245D83"/>
    <w:rsid w:val="00246AB6"/>
    <w:rsid w:val="00250D6B"/>
    <w:rsid w:val="002519E0"/>
    <w:rsid w:val="00251A59"/>
    <w:rsid w:val="0025249F"/>
    <w:rsid w:val="00252A50"/>
    <w:rsid w:val="0025354B"/>
    <w:rsid w:val="0025370D"/>
    <w:rsid w:val="0025433F"/>
    <w:rsid w:val="0025542F"/>
    <w:rsid w:val="00255BFE"/>
    <w:rsid w:val="00257142"/>
    <w:rsid w:val="002578A1"/>
    <w:rsid w:val="00260F0D"/>
    <w:rsid w:val="00261BFA"/>
    <w:rsid w:val="00261CD0"/>
    <w:rsid w:val="00262CB2"/>
    <w:rsid w:val="00262E04"/>
    <w:rsid w:val="00264B08"/>
    <w:rsid w:val="0026575C"/>
    <w:rsid w:val="0026580D"/>
    <w:rsid w:val="0026632E"/>
    <w:rsid w:val="002718BE"/>
    <w:rsid w:val="00272818"/>
    <w:rsid w:val="00272E8F"/>
    <w:rsid w:val="00273BDE"/>
    <w:rsid w:val="00275456"/>
    <w:rsid w:val="00275F60"/>
    <w:rsid w:val="00276193"/>
    <w:rsid w:val="00276249"/>
    <w:rsid w:val="002766C9"/>
    <w:rsid w:val="00276A40"/>
    <w:rsid w:val="00276C0F"/>
    <w:rsid w:val="00276DF8"/>
    <w:rsid w:val="00276F2D"/>
    <w:rsid w:val="00277EF1"/>
    <w:rsid w:val="002802C2"/>
    <w:rsid w:val="002817DB"/>
    <w:rsid w:val="002829D7"/>
    <w:rsid w:val="002836D4"/>
    <w:rsid w:val="00283B71"/>
    <w:rsid w:val="00286A2A"/>
    <w:rsid w:val="00286E81"/>
    <w:rsid w:val="002878B7"/>
    <w:rsid w:val="00290C4B"/>
    <w:rsid w:val="00290E0B"/>
    <w:rsid w:val="00291219"/>
    <w:rsid w:val="00291770"/>
    <w:rsid w:val="00291C86"/>
    <w:rsid w:val="00291DA6"/>
    <w:rsid w:val="00292420"/>
    <w:rsid w:val="00292818"/>
    <w:rsid w:val="00292FFB"/>
    <w:rsid w:val="00293B86"/>
    <w:rsid w:val="002941D5"/>
    <w:rsid w:val="0029472E"/>
    <w:rsid w:val="0029477A"/>
    <w:rsid w:val="00294D4F"/>
    <w:rsid w:val="00294E7C"/>
    <w:rsid w:val="00295539"/>
    <w:rsid w:val="00295A5A"/>
    <w:rsid w:val="00296E50"/>
    <w:rsid w:val="00297697"/>
    <w:rsid w:val="002A112E"/>
    <w:rsid w:val="002A1A44"/>
    <w:rsid w:val="002A2D62"/>
    <w:rsid w:val="002A31C2"/>
    <w:rsid w:val="002A45F8"/>
    <w:rsid w:val="002A52D9"/>
    <w:rsid w:val="002A5EBE"/>
    <w:rsid w:val="002A617C"/>
    <w:rsid w:val="002A71C2"/>
    <w:rsid w:val="002B04DB"/>
    <w:rsid w:val="002B0CD6"/>
    <w:rsid w:val="002B1847"/>
    <w:rsid w:val="002B23F0"/>
    <w:rsid w:val="002B395C"/>
    <w:rsid w:val="002B3D9B"/>
    <w:rsid w:val="002B5D38"/>
    <w:rsid w:val="002B79AE"/>
    <w:rsid w:val="002C10D2"/>
    <w:rsid w:val="002C17E2"/>
    <w:rsid w:val="002C3232"/>
    <w:rsid w:val="002C33BA"/>
    <w:rsid w:val="002C35DC"/>
    <w:rsid w:val="002C413E"/>
    <w:rsid w:val="002C416C"/>
    <w:rsid w:val="002C446A"/>
    <w:rsid w:val="002C6983"/>
    <w:rsid w:val="002C6EC1"/>
    <w:rsid w:val="002C6F21"/>
    <w:rsid w:val="002C775F"/>
    <w:rsid w:val="002C78D9"/>
    <w:rsid w:val="002C7974"/>
    <w:rsid w:val="002C7D87"/>
    <w:rsid w:val="002D0113"/>
    <w:rsid w:val="002D0778"/>
    <w:rsid w:val="002D0A00"/>
    <w:rsid w:val="002D0AC6"/>
    <w:rsid w:val="002D11F1"/>
    <w:rsid w:val="002D173F"/>
    <w:rsid w:val="002D22CE"/>
    <w:rsid w:val="002D2FFB"/>
    <w:rsid w:val="002D32CC"/>
    <w:rsid w:val="002D33BF"/>
    <w:rsid w:val="002D41A9"/>
    <w:rsid w:val="002D7337"/>
    <w:rsid w:val="002D758C"/>
    <w:rsid w:val="002D77A6"/>
    <w:rsid w:val="002E1318"/>
    <w:rsid w:val="002E2948"/>
    <w:rsid w:val="002E2D09"/>
    <w:rsid w:val="002E3042"/>
    <w:rsid w:val="002E377E"/>
    <w:rsid w:val="002E38B3"/>
    <w:rsid w:val="002E4C25"/>
    <w:rsid w:val="002E4D0D"/>
    <w:rsid w:val="002E4FA1"/>
    <w:rsid w:val="002E6BB4"/>
    <w:rsid w:val="002E7431"/>
    <w:rsid w:val="002E7553"/>
    <w:rsid w:val="002E7C81"/>
    <w:rsid w:val="002F00F9"/>
    <w:rsid w:val="002F1642"/>
    <w:rsid w:val="002F1C25"/>
    <w:rsid w:val="002F278A"/>
    <w:rsid w:val="002F2F68"/>
    <w:rsid w:val="002F4094"/>
    <w:rsid w:val="002F425D"/>
    <w:rsid w:val="002F4293"/>
    <w:rsid w:val="002F4CF4"/>
    <w:rsid w:val="002F61DB"/>
    <w:rsid w:val="002F6C2C"/>
    <w:rsid w:val="002F6F01"/>
    <w:rsid w:val="0030060B"/>
    <w:rsid w:val="00300CC7"/>
    <w:rsid w:val="00300ECC"/>
    <w:rsid w:val="00301CE6"/>
    <w:rsid w:val="00301ECC"/>
    <w:rsid w:val="0030204F"/>
    <w:rsid w:val="00302473"/>
    <w:rsid w:val="00302614"/>
    <w:rsid w:val="00303BE5"/>
    <w:rsid w:val="00304B07"/>
    <w:rsid w:val="00306B95"/>
    <w:rsid w:val="00306FF2"/>
    <w:rsid w:val="00307C79"/>
    <w:rsid w:val="0031016E"/>
    <w:rsid w:val="0031027E"/>
    <w:rsid w:val="003114B0"/>
    <w:rsid w:val="00311F0B"/>
    <w:rsid w:val="003124BC"/>
    <w:rsid w:val="00313544"/>
    <w:rsid w:val="00314249"/>
    <w:rsid w:val="00314326"/>
    <w:rsid w:val="003152CA"/>
    <w:rsid w:val="0031782F"/>
    <w:rsid w:val="0032103D"/>
    <w:rsid w:val="00321C73"/>
    <w:rsid w:val="00322063"/>
    <w:rsid w:val="00322514"/>
    <w:rsid w:val="0032411C"/>
    <w:rsid w:val="00324B5C"/>
    <w:rsid w:val="00325CE6"/>
    <w:rsid w:val="003270ED"/>
    <w:rsid w:val="00331006"/>
    <w:rsid w:val="0033138F"/>
    <w:rsid w:val="00332A11"/>
    <w:rsid w:val="00333253"/>
    <w:rsid w:val="00333C82"/>
    <w:rsid w:val="003344DA"/>
    <w:rsid w:val="00334B59"/>
    <w:rsid w:val="003351CD"/>
    <w:rsid w:val="003351EE"/>
    <w:rsid w:val="00335427"/>
    <w:rsid w:val="003362EA"/>
    <w:rsid w:val="00337BCB"/>
    <w:rsid w:val="00340CA9"/>
    <w:rsid w:val="00341CA5"/>
    <w:rsid w:val="00341E97"/>
    <w:rsid w:val="00341F46"/>
    <w:rsid w:val="00342270"/>
    <w:rsid w:val="00343B60"/>
    <w:rsid w:val="00344122"/>
    <w:rsid w:val="003444C6"/>
    <w:rsid w:val="00345C67"/>
    <w:rsid w:val="003467AB"/>
    <w:rsid w:val="00347B57"/>
    <w:rsid w:val="00350097"/>
    <w:rsid w:val="00350514"/>
    <w:rsid w:val="00354076"/>
    <w:rsid w:val="00354FFB"/>
    <w:rsid w:val="00355ADB"/>
    <w:rsid w:val="003571C4"/>
    <w:rsid w:val="003576E1"/>
    <w:rsid w:val="00357989"/>
    <w:rsid w:val="003604F4"/>
    <w:rsid w:val="003605CF"/>
    <w:rsid w:val="00360B04"/>
    <w:rsid w:val="00360D6C"/>
    <w:rsid w:val="00362EFE"/>
    <w:rsid w:val="003630F6"/>
    <w:rsid w:val="00364854"/>
    <w:rsid w:val="00364DA2"/>
    <w:rsid w:val="0036578D"/>
    <w:rsid w:val="00365C27"/>
    <w:rsid w:val="0036675D"/>
    <w:rsid w:val="00366D46"/>
    <w:rsid w:val="00367001"/>
    <w:rsid w:val="00367155"/>
    <w:rsid w:val="003674AC"/>
    <w:rsid w:val="003678A8"/>
    <w:rsid w:val="00367A69"/>
    <w:rsid w:val="00367EBD"/>
    <w:rsid w:val="00367F96"/>
    <w:rsid w:val="00370A7A"/>
    <w:rsid w:val="00370C31"/>
    <w:rsid w:val="00371910"/>
    <w:rsid w:val="003719D3"/>
    <w:rsid w:val="00371CB2"/>
    <w:rsid w:val="0037330A"/>
    <w:rsid w:val="0037373C"/>
    <w:rsid w:val="003738C8"/>
    <w:rsid w:val="00373925"/>
    <w:rsid w:val="00373E0D"/>
    <w:rsid w:val="0037451B"/>
    <w:rsid w:val="00374B56"/>
    <w:rsid w:val="003757A6"/>
    <w:rsid w:val="0037611D"/>
    <w:rsid w:val="00377629"/>
    <w:rsid w:val="00377760"/>
    <w:rsid w:val="003778A5"/>
    <w:rsid w:val="003802D0"/>
    <w:rsid w:val="00380405"/>
    <w:rsid w:val="003804B7"/>
    <w:rsid w:val="003807D7"/>
    <w:rsid w:val="00380A91"/>
    <w:rsid w:val="00380BA5"/>
    <w:rsid w:val="003810C2"/>
    <w:rsid w:val="00381142"/>
    <w:rsid w:val="00381B39"/>
    <w:rsid w:val="00381B46"/>
    <w:rsid w:val="0038303D"/>
    <w:rsid w:val="00383270"/>
    <w:rsid w:val="00383EC8"/>
    <w:rsid w:val="00384CE2"/>
    <w:rsid w:val="0038580B"/>
    <w:rsid w:val="00385938"/>
    <w:rsid w:val="00385BCD"/>
    <w:rsid w:val="003865B4"/>
    <w:rsid w:val="00387B10"/>
    <w:rsid w:val="0039372E"/>
    <w:rsid w:val="003938D4"/>
    <w:rsid w:val="00396C99"/>
    <w:rsid w:val="00396D3B"/>
    <w:rsid w:val="00396F7B"/>
    <w:rsid w:val="0039740E"/>
    <w:rsid w:val="0039755F"/>
    <w:rsid w:val="003A0602"/>
    <w:rsid w:val="003A0763"/>
    <w:rsid w:val="003A341C"/>
    <w:rsid w:val="003A3450"/>
    <w:rsid w:val="003A3869"/>
    <w:rsid w:val="003A41C4"/>
    <w:rsid w:val="003A50DE"/>
    <w:rsid w:val="003A51E0"/>
    <w:rsid w:val="003A5768"/>
    <w:rsid w:val="003A5DFE"/>
    <w:rsid w:val="003A7162"/>
    <w:rsid w:val="003A789F"/>
    <w:rsid w:val="003B096F"/>
    <w:rsid w:val="003B0E80"/>
    <w:rsid w:val="003B1973"/>
    <w:rsid w:val="003B24C2"/>
    <w:rsid w:val="003B350D"/>
    <w:rsid w:val="003B39C6"/>
    <w:rsid w:val="003B39CF"/>
    <w:rsid w:val="003B3E6C"/>
    <w:rsid w:val="003B45C6"/>
    <w:rsid w:val="003B5292"/>
    <w:rsid w:val="003B52D6"/>
    <w:rsid w:val="003B6067"/>
    <w:rsid w:val="003B688A"/>
    <w:rsid w:val="003B68E6"/>
    <w:rsid w:val="003B698C"/>
    <w:rsid w:val="003B732A"/>
    <w:rsid w:val="003B7579"/>
    <w:rsid w:val="003B7813"/>
    <w:rsid w:val="003B7E8B"/>
    <w:rsid w:val="003C2B31"/>
    <w:rsid w:val="003C314A"/>
    <w:rsid w:val="003C5DB5"/>
    <w:rsid w:val="003C7139"/>
    <w:rsid w:val="003C7B3D"/>
    <w:rsid w:val="003D086A"/>
    <w:rsid w:val="003D0EAA"/>
    <w:rsid w:val="003D2858"/>
    <w:rsid w:val="003D2DA7"/>
    <w:rsid w:val="003D3236"/>
    <w:rsid w:val="003D373A"/>
    <w:rsid w:val="003D3C28"/>
    <w:rsid w:val="003D3F99"/>
    <w:rsid w:val="003D4A60"/>
    <w:rsid w:val="003D4F09"/>
    <w:rsid w:val="003D5550"/>
    <w:rsid w:val="003D70D5"/>
    <w:rsid w:val="003D7D40"/>
    <w:rsid w:val="003E0AF2"/>
    <w:rsid w:val="003E1785"/>
    <w:rsid w:val="003E1AEA"/>
    <w:rsid w:val="003E233E"/>
    <w:rsid w:val="003E318B"/>
    <w:rsid w:val="003E38AD"/>
    <w:rsid w:val="003E3E00"/>
    <w:rsid w:val="003E3F77"/>
    <w:rsid w:val="003E41FA"/>
    <w:rsid w:val="003E4772"/>
    <w:rsid w:val="003E5ADD"/>
    <w:rsid w:val="003E6181"/>
    <w:rsid w:val="003E73CF"/>
    <w:rsid w:val="003F1345"/>
    <w:rsid w:val="003F16A7"/>
    <w:rsid w:val="003F2738"/>
    <w:rsid w:val="003F2D45"/>
    <w:rsid w:val="003F3FEF"/>
    <w:rsid w:val="003F4485"/>
    <w:rsid w:val="003F699C"/>
    <w:rsid w:val="003F6C02"/>
    <w:rsid w:val="003F7667"/>
    <w:rsid w:val="003F7C4D"/>
    <w:rsid w:val="00400DE7"/>
    <w:rsid w:val="004010EC"/>
    <w:rsid w:val="00401CC5"/>
    <w:rsid w:val="00402288"/>
    <w:rsid w:val="00403828"/>
    <w:rsid w:val="00404312"/>
    <w:rsid w:val="004045E8"/>
    <w:rsid w:val="0040499E"/>
    <w:rsid w:val="00404B9E"/>
    <w:rsid w:val="00404D1E"/>
    <w:rsid w:val="00404F92"/>
    <w:rsid w:val="004057F2"/>
    <w:rsid w:val="004106AA"/>
    <w:rsid w:val="0041091C"/>
    <w:rsid w:val="00410C73"/>
    <w:rsid w:val="0041156A"/>
    <w:rsid w:val="004126AC"/>
    <w:rsid w:val="0041270B"/>
    <w:rsid w:val="00413078"/>
    <w:rsid w:val="004136A7"/>
    <w:rsid w:val="004142D8"/>
    <w:rsid w:val="0041467C"/>
    <w:rsid w:val="00414E30"/>
    <w:rsid w:val="004151CE"/>
    <w:rsid w:val="00416CB3"/>
    <w:rsid w:val="00416FBC"/>
    <w:rsid w:val="0042114B"/>
    <w:rsid w:val="00422057"/>
    <w:rsid w:val="00422D7F"/>
    <w:rsid w:val="00422EB7"/>
    <w:rsid w:val="00423201"/>
    <w:rsid w:val="004233E2"/>
    <w:rsid w:val="0042522C"/>
    <w:rsid w:val="00425AA2"/>
    <w:rsid w:val="00425B6E"/>
    <w:rsid w:val="004260B2"/>
    <w:rsid w:val="004271A5"/>
    <w:rsid w:val="004277A2"/>
    <w:rsid w:val="00427EEA"/>
    <w:rsid w:val="0043023B"/>
    <w:rsid w:val="0043120D"/>
    <w:rsid w:val="004314CC"/>
    <w:rsid w:val="0043197B"/>
    <w:rsid w:val="004322A2"/>
    <w:rsid w:val="00432438"/>
    <w:rsid w:val="0043338C"/>
    <w:rsid w:val="0043359D"/>
    <w:rsid w:val="004337A9"/>
    <w:rsid w:val="00433C6D"/>
    <w:rsid w:val="00434457"/>
    <w:rsid w:val="004344C1"/>
    <w:rsid w:val="00434662"/>
    <w:rsid w:val="004349E9"/>
    <w:rsid w:val="00434F32"/>
    <w:rsid w:val="00436C29"/>
    <w:rsid w:val="004377C3"/>
    <w:rsid w:val="00440682"/>
    <w:rsid w:val="00440F26"/>
    <w:rsid w:val="00441398"/>
    <w:rsid w:val="004416C4"/>
    <w:rsid w:val="00442CE7"/>
    <w:rsid w:val="0044334C"/>
    <w:rsid w:val="004442E6"/>
    <w:rsid w:val="00444B0E"/>
    <w:rsid w:val="00447E6F"/>
    <w:rsid w:val="00451FED"/>
    <w:rsid w:val="00452015"/>
    <w:rsid w:val="0045300C"/>
    <w:rsid w:val="00453183"/>
    <w:rsid w:val="00453895"/>
    <w:rsid w:val="0045465E"/>
    <w:rsid w:val="00454CE5"/>
    <w:rsid w:val="00454F4E"/>
    <w:rsid w:val="004551F9"/>
    <w:rsid w:val="004559C5"/>
    <w:rsid w:val="00456C05"/>
    <w:rsid w:val="004606F6"/>
    <w:rsid w:val="00460FA4"/>
    <w:rsid w:val="0046187D"/>
    <w:rsid w:val="004627C2"/>
    <w:rsid w:val="00463A8F"/>
    <w:rsid w:val="00463FD1"/>
    <w:rsid w:val="0046460B"/>
    <w:rsid w:val="00464819"/>
    <w:rsid w:val="004652AA"/>
    <w:rsid w:val="004654B4"/>
    <w:rsid w:val="004654E8"/>
    <w:rsid w:val="00465CA5"/>
    <w:rsid w:val="00465D52"/>
    <w:rsid w:val="00467CD8"/>
    <w:rsid w:val="004703F9"/>
    <w:rsid w:val="0047066F"/>
    <w:rsid w:val="004706FE"/>
    <w:rsid w:val="0047099C"/>
    <w:rsid w:val="004712D6"/>
    <w:rsid w:val="004713DD"/>
    <w:rsid w:val="0047185B"/>
    <w:rsid w:val="00471860"/>
    <w:rsid w:val="004720D1"/>
    <w:rsid w:val="00475293"/>
    <w:rsid w:val="0047719D"/>
    <w:rsid w:val="004779F8"/>
    <w:rsid w:val="004817E5"/>
    <w:rsid w:val="0048189F"/>
    <w:rsid w:val="00481955"/>
    <w:rsid w:val="00481C6E"/>
    <w:rsid w:val="004823C2"/>
    <w:rsid w:val="0048295C"/>
    <w:rsid w:val="00485928"/>
    <w:rsid w:val="004861C7"/>
    <w:rsid w:val="004861DA"/>
    <w:rsid w:val="004864F8"/>
    <w:rsid w:val="0048717B"/>
    <w:rsid w:val="00487797"/>
    <w:rsid w:val="0049012F"/>
    <w:rsid w:val="00490D55"/>
    <w:rsid w:val="004910DD"/>
    <w:rsid w:val="00492083"/>
    <w:rsid w:val="00492596"/>
    <w:rsid w:val="00494365"/>
    <w:rsid w:val="004959D4"/>
    <w:rsid w:val="004964F9"/>
    <w:rsid w:val="004A3030"/>
    <w:rsid w:val="004A3C07"/>
    <w:rsid w:val="004A3EF7"/>
    <w:rsid w:val="004A48A5"/>
    <w:rsid w:val="004A4933"/>
    <w:rsid w:val="004A5250"/>
    <w:rsid w:val="004A5E82"/>
    <w:rsid w:val="004A5FBC"/>
    <w:rsid w:val="004A66CA"/>
    <w:rsid w:val="004A6DDC"/>
    <w:rsid w:val="004B0E47"/>
    <w:rsid w:val="004B1017"/>
    <w:rsid w:val="004B1A4F"/>
    <w:rsid w:val="004B2264"/>
    <w:rsid w:val="004B22E6"/>
    <w:rsid w:val="004B2464"/>
    <w:rsid w:val="004B2A7E"/>
    <w:rsid w:val="004B32CC"/>
    <w:rsid w:val="004B4553"/>
    <w:rsid w:val="004B4C49"/>
    <w:rsid w:val="004B53C5"/>
    <w:rsid w:val="004B5ADD"/>
    <w:rsid w:val="004B5C4A"/>
    <w:rsid w:val="004B61AD"/>
    <w:rsid w:val="004B6360"/>
    <w:rsid w:val="004B6F6B"/>
    <w:rsid w:val="004B7536"/>
    <w:rsid w:val="004C077D"/>
    <w:rsid w:val="004C0A5D"/>
    <w:rsid w:val="004C0C5C"/>
    <w:rsid w:val="004C0C8E"/>
    <w:rsid w:val="004C1603"/>
    <w:rsid w:val="004C1AE7"/>
    <w:rsid w:val="004C24C6"/>
    <w:rsid w:val="004C2EF6"/>
    <w:rsid w:val="004C3020"/>
    <w:rsid w:val="004C32AE"/>
    <w:rsid w:val="004C380E"/>
    <w:rsid w:val="004C388C"/>
    <w:rsid w:val="004C43B2"/>
    <w:rsid w:val="004C56FB"/>
    <w:rsid w:val="004C5C06"/>
    <w:rsid w:val="004C5C45"/>
    <w:rsid w:val="004C7261"/>
    <w:rsid w:val="004C72CC"/>
    <w:rsid w:val="004C7768"/>
    <w:rsid w:val="004D08F7"/>
    <w:rsid w:val="004D1886"/>
    <w:rsid w:val="004D2164"/>
    <w:rsid w:val="004D2540"/>
    <w:rsid w:val="004D2630"/>
    <w:rsid w:val="004D37F0"/>
    <w:rsid w:val="004D5D0E"/>
    <w:rsid w:val="004D7819"/>
    <w:rsid w:val="004E0990"/>
    <w:rsid w:val="004E14F6"/>
    <w:rsid w:val="004E2B1E"/>
    <w:rsid w:val="004E3002"/>
    <w:rsid w:val="004E3BBC"/>
    <w:rsid w:val="004E3C4C"/>
    <w:rsid w:val="004E44C8"/>
    <w:rsid w:val="004E48D1"/>
    <w:rsid w:val="004E590E"/>
    <w:rsid w:val="004E68ED"/>
    <w:rsid w:val="004E75F0"/>
    <w:rsid w:val="004F00DB"/>
    <w:rsid w:val="004F0594"/>
    <w:rsid w:val="004F0AD4"/>
    <w:rsid w:val="004F10A7"/>
    <w:rsid w:val="004F1A51"/>
    <w:rsid w:val="004F3699"/>
    <w:rsid w:val="004F4CB4"/>
    <w:rsid w:val="004F6176"/>
    <w:rsid w:val="004F6DCC"/>
    <w:rsid w:val="004F7648"/>
    <w:rsid w:val="00500153"/>
    <w:rsid w:val="005011FF"/>
    <w:rsid w:val="00501534"/>
    <w:rsid w:val="005019A2"/>
    <w:rsid w:val="00501FEC"/>
    <w:rsid w:val="0050311A"/>
    <w:rsid w:val="00503A59"/>
    <w:rsid w:val="00504531"/>
    <w:rsid w:val="00504721"/>
    <w:rsid w:val="00504D4C"/>
    <w:rsid w:val="00504FDF"/>
    <w:rsid w:val="00505DA6"/>
    <w:rsid w:val="00507377"/>
    <w:rsid w:val="00510033"/>
    <w:rsid w:val="0051076F"/>
    <w:rsid w:val="005117B4"/>
    <w:rsid w:val="00512D0E"/>
    <w:rsid w:val="005131BC"/>
    <w:rsid w:val="00514353"/>
    <w:rsid w:val="005145DA"/>
    <w:rsid w:val="005162F6"/>
    <w:rsid w:val="00516B5F"/>
    <w:rsid w:val="005200A4"/>
    <w:rsid w:val="005201BC"/>
    <w:rsid w:val="00520B9B"/>
    <w:rsid w:val="00520BFE"/>
    <w:rsid w:val="00521619"/>
    <w:rsid w:val="00521DC4"/>
    <w:rsid w:val="00522A44"/>
    <w:rsid w:val="005232C0"/>
    <w:rsid w:val="005239EB"/>
    <w:rsid w:val="00523FA1"/>
    <w:rsid w:val="00524893"/>
    <w:rsid w:val="005252E6"/>
    <w:rsid w:val="0052595C"/>
    <w:rsid w:val="005262CF"/>
    <w:rsid w:val="0052669E"/>
    <w:rsid w:val="005267F3"/>
    <w:rsid w:val="00527821"/>
    <w:rsid w:val="005300CE"/>
    <w:rsid w:val="00530459"/>
    <w:rsid w:val="00530630"/>
    <w:rsid w:val="00531EEE"/>
    <w:rsid w:val="005328F4"/>
    <w:rsid w:val="00532B5F"/>
    <w:rsid w:val="005333F0"/>
    <w:rsid w:val="0053384E"/>
    <w:rsid w:val="0053415A"/>
    <w:rsid w:val="00534C7E"/>
    <w:rsid w:val="00535193"/>
    <w:rsid w:val="00537D97"/>
    <w:rsid w:val="005400E0"/>
    <w:rsid w:val="00540137"/>
    <w:rsid w:val="005402E1"/>
    <w:rsid w:val="005408EF"/>
    <w:rsid w:val="00540D96"/>
    <w:rsid w:val="00541BC8"/>
    <w:rsid w:val="005434CE"/>
    <w:rsid w:val="00544D44"/>
    <w:rsid w:val="00544FAC"/>
    <w:rsid w:val="00545B8C"/>
    <w:rsid w:val="00545D5E"/>
    <w:rsid w:val="005464EB"/>
    <w:rsid w:val="00546EEF"/>
    <w:rsid w:val="005501CC"/>
    <w:rsid w:val="00550680"/>
    <w:rsid w:val="00550CC2"/>
    <w:rsid w:val="0055192F"/>
    <w:rsid w:val="005527B4"/>
    <w:rsid w:val="00554C95"/>
    <w:rsid w:val="00555CEE"/>
    <w:rsid w:val="00560342"/>
    <w:rsid w:val="005614AD"/>
    <w:rsid w:val="005646DD"/>
    <w:rsid w:val="005648D3"/>
    <w:rsid w:val="005648D8"/>
    <w:rsid w:val="00565618"/>
    <w:rsid w:val="00566B60"/>
    <w:rsid w:val="005674F0"/>
    <w:rsid w:val="00572D0B"/>
    <w:rsid w:val="0057316D"/>
    <w:rsid w:val="005731ED"/>
    <w:rsid w:val="00573650"/>
    <w:rsid w:val="00573FCB"/>
    <w:rsid w:val="00574B09"/>
    <w:rsid w:val="0057553A"/>
    <w:rsid w:val="00575A53"/>
    <w:rsid w:val="00575B49"/>
    <w:rsid w:val="00576365"/>
    <w:rsid w:val="00576AAE"/>
    <w:rsid w:val="00576E75"/>
    <w:rsid w:val="00577823"/>
    <w:rsid w:val="005778DF"/>
    <w:rsid w:val="00577AE0"/>
    <w:rsid w:val="00577B91"/>
    <w:rsid w:val="00577F10"/>
    <w:rsid w:val="00582077"/>
    <w:rsid w:val="00582D43"/>
    <w:rsid w:val="00583874"/>
    <w:rsid w:val="00584FD9"/>
    <w:rsid w:val="005854E5"/>
    <w:rsid w:val="00586235"/>
    <w:rsid w:val="00586DC6"/>
    <w:rsid w:val="00587245"/>
    <w:rsid w:val="00587439"/>
    <w:rsid w:val="005908D2"/>
    <w:rsid w:val="00590C0F"/>
    <w:rsid w:val="00591FED"/>
    <w:rsid w:val="005922A5"/>
    <w:rsid w:val="00592C0E"/>
    <w:rsid w:val="00592EA9"/>
    <w:rsid w:val="00593294"/>
    <w:rsid w:val="00594825"/>
    <w:rsid w:val="00596568"/>
    <w:rsid w:val="005967BF"/>
    <w:rsid w:val="00597422"/>
    <w:rsid w:val="00597BEC"/>
    <w:rsid w:val="005A01DE"/>
    <w:rsid w:val="005A0203"/>
    <w:rsid w:val="005A1133"/>
    <w:rsid w:val="005A22A4"/>
    <w:rsid w:val="005A2348"/>
    <w:rsid w:val="005A2472"/>
    <w:rsid w:val="005A2C19"/>
    <w:rsid w:val="005A2FBB"/>
    <w:rsid w:val="005A3499"/>
    <w:rsid w:val="005A44E7"/>
    <w:rsid w:val="005A4590"/>
    <w:rsid w:val="005A4F68"/>
    <w:rsid w:val="005A4F91"/>
    <w:rsid w:val="005A56F2"/>
    <w:rsid w:val="005A5A02"/>
    <w:rsid w:val="005A64B5"/>
    <w:rsid w:val="005A6779"/>
    <w:rsid w:val="005A691D"/>
    <w:rsid w:val="005B0F85"/>
    <w:rsid w:val="005B1609"/>
    <w:rsid w:val="005B1ACB"/>
    <w:rsid w:val="005B28A9"/>
    <w:rsid w:val="005B2F6F"/>
    <w:rsid w:val="005B354F"/>
    <w:rsid w:val="005B461D"/>
    <w:rsid w:val="005B4E25"/>
    <w:rsid w:val="005B54E5"/>
    <w:rsid w:val="005B6075"/>
    <w:rsid w:val="005B61AB"/>
    <w:rsid w:val="005B66E2"/>
    <w:rsid w:val="005B695D"/>
    <w:rsid w:val="005B6ABF"/>
    <w:rsid w:val="005B77D1"/>
    <w:rsid w:val="005B7D1A"/>
    <w:rsid w:val="005C0CD8"/>
    <w:rsid w:val="005C0F80"/>
    <w:rsid w:val="005C1058"/>
    <w:rsid w:val="005C1136"/>
    <w:rsid w:val="005C1D87"/>
    <w:rsid w:val="005C2142"/>
    <w:rsid w:val="005C33C0"/>
    <w:rsid w:val="005C34CF"/>
    <w:rsid w:val="005C373F"/>
    <w:rsid w:val="005C386E"/>
    <w:rsid w:val="005C3F72"/>
    <w:rsid w:val="005C4091"/>
    <w:rsid w:val="005C43FD"/>
    <w:rsid w:val="005C494F"/>
    <w:rsid w:val="005C5B0C"/>
    <w:rsid w:val="005C60E8"/>
    <w:rsid w:val="005C79B3"/>
    <w:rsid w:val="005D2915"/>
    <w:rsid w:val="005D34F7"/>
    <w:rsid w:val="005D352F"/>
    <w:rsid w:val="005D3C0B"/>
    <w:rsid w:val="005D406C"/>
    <w:rsid w:val="005D416A"/>
    <w:rsid w:val="005D5B1B"/>
    <w:rsid w:val="005D6019"/>
    <w:rsid w:val="005D6DEB"/>
    <w:rsid w:val="005D7DDB"/>
    <w:rsid w:val="005D7F2E"/>
    <w:rsid w:val="005E0F9A"/>
    <w:rsid w:val="005E1C17"/>
    <w:rsid w:val="005E2005"/>
    <w:rsid w:val="005E2B94"/>
    <w:rsid w:val="005E2D2C"/>
    <w:rsid w:val="005E356D"/>
    <w:rsid w:val="005E3964"/>
    <w:rsid w:val="005E496A"/>
    <w:rsid w:val="005E5DD4"/>
    <w:rsid w:val="005E6B07"/>
    <w:rsid w:val="005E7022"/>
    <w:rsid w:val="005E73B9"/>
    <w:rsid w:val="005E77B6"/>
    <w:rsid w:val="005E7C71"/>
    <w:rsid w:val="005E7F09"/>
    <w:rsid w:val="005F066E"/>
    <w:rsid w:val="005F2286"/>
    <w:rsid w:val="005F25CD"/>
    <w:rsid w:val="005F2E47"/>
    <w:rsid w:val="005F30AE"/>
    <w:rsid w:val="005F396A"/>
    <w:rsid w:val="005F3A5D"/>
    <w:rsid w:val="005F45B8"/>
    <w:rsid w:val="005F4CE9"/>
    <w:rsid w:val="005F4DD3"/>
    <w:rsid w:val="005F6585"/>
    <w:rsid w:val="00600E3E"/>
    <w:rsid w:val="00601358"/>
    <w:rsid w:val="0060358E"/>
    <w:rsid w:val="006043F3"/>
    <w:rsid w:val="00604B3A"/>
    <w:rsid w:val="00604B6A"/>
    <w:rsid w:val="00604D4F"/>
    <w:rsid w:val="0061056E"/>
    <w:rsid w:val="0061062B"/>
    <w:rsid w:val="00610A13"/>
    <w:rsid w:val="0061110D"/>
    <w:rsid w:val="006116C2"/>
    <w:rsid w:val="00612934"/>
    <w:rsid w:val="006137E8"/>
    <w:rsid w:val="0061465D"/>
    <w:rsid w:val="0061555E"/>
    <w:rsid w:val="00615F94"/>
    <w:rsid w:val="006160D8"/>
    <w:rsid w:val="00616C84"/>
    <w:rsid w:val="00616E52"/>
    <w:rsid w:val="00617021"/>
    <w:rsid w:val="00617543"/>
    <w:rsid w:val="00620277"/>
    <w:rsid w:val="0062082F"/>
    <w:rsid w:val="00620B83"/>
    <w:rsid w:val="00620DD8"/>
    <w:rsid w:val="00621C2D"/>
    <w:rsid w:val="00621C3B"/>
    <w:rsid w:val="006225F3"/>
    <w:rsid w:val="00623766"/>
    <w:rsid w:val="00625320"/>
    <w:rsid w:val="0062539E"/>
    <w:rsid w:val="00625778"/>
    <w:rsid w:val="0062594F"/>
    <w:rsid w:val="0062639A"/>
    <w:rsid w:val="00626CAA"/>
    <w:rsid w:val="006272ED"/>
    <w:rsid w:val="00631C16"/>
    <w:rsid w:val="00631E8B"/>
    <w:rsid w:val="006323B7"/>
    <w:rsid w:val="00632972"/>
    <w:rsid w:val="00632BF9"/>
    <w:rsid w:val="00632C82"/>
    <w:rsid w:val="00632F51"/>
    <w:rsid w:val="006331BB"/>
    <w:rsid w:val="00633E42"/>
    <w:rsid w:val="00634D44"/>
    <w:rsid w:val="006352BB"/>
    <w:rsid w:val="00635734"/>
    <w:rsid w:val="00636641"/>
    <w:rsid w:val="00636D84"/>
    <w:rsid w:val="00637261"/>
    <w:rsid w:val="0063728A"/>
    <w:rsid w:val="006403E8"/>
    <w:rsid w:val="006414D7"/>
    <w:rsid w:val="00642CFA"/>
    <w:rsid w:val="00643606"/>
    <w:rsid w:val="00643688"/>
    <w:rsid w:val="00644308"/>
    <w:rsid w:val="00644C59"/>
    <w:rsid w:val="00645273"/>
    <w:rsid w:val="006453B3"/>
    <w:rsid w:val="00645D05"/>
    <w:rsid w:val="00645D98"/>
    <w:rsid w:val="0064687C"/>
    <w:rsid w:val="00646B5A"/>
    <w:rsid w:val="00647D07"/>
    <w:rsid w:val="00647DBD"/>
    <w:rsid w:val="00650421"/>
    <w:rsid w:val="006515CB"/>
    <w:rsid w:val="00651765"/>
    <w:rsid w:val="00651973"/>
    <w:rsid w:val="00651985"/>
    <w:rsid w:val="006520B5"/>
    <w:rsid w:val="00652A7B"/>
    <w:rsid w:val="00652F94"/>
    <w:rsid w:val="0065498C"/>
    <w:rsid w:val="00654C46"/>
    <w:rsid w:val="00654E33"/>
    <w:rsid w:val="00655157"/>
    <w:rsid w:val="00655C01"/>
    <w:rsid w:val="00655C66"/>
    <w:rsid w:val="00655C85"/>
    <w:rsid w:val="0065603D"/>
    <w:rsid w:val="006572AC"/>
    <w:rsid w:val="006573B7"/>
    <w:rsid w:val="00660643"/>
    <w:rsid w:val="00661EF7"/>
    <w:rsid w:val="006620D9"/>
    <w:rsid w:val="00663600"/>
    <w:rsid w:val="00663C8C"/>
    <w:rsid w:val="006641F8"/>
    <w:rsid w:val="00664C21"/>
    <w:rsid w:val="00664D16"/>
    <w:rsid w:val="0066519C"/>
    <w:rsid w:val="006654C5"/>
    <w:rsid w:val="00667BEC"/>
    <w:rsid w:val="00670B28"/>
    <w:rsid w:val="00671827"/>
    <w:rsid w:val="00671A34"/>
    <w:rsid w:val="00672844"/>
    <w:rsid w:val="00672CA3"/>
    <w:rsid w:val="006744DA"/>
    <w:rsid w:val="006749FE"/>
    <w:rsid w:val="0067692B"/>
    <w:rsid w:val="006769B9"/>
    <w:rsid w:val="0067701F"/>
    <w:rsid w:val="00677C3F"/>
    <w:rsid w:val="00680EE5"/>
    <w:rsid w:val="00681434"/>
    <w:rsid w:val="00681E72"/>
    <w:rsid w:val="006822A3"/>
    <w:rsid w:val="006832B9"/>
    <w:rsid w:val="00684D37"/>
    <w:rsid w:val="0068668F"/>
    <w:rsid w:val="006868A3"/>
    <w:rsid w:val="00686A03"/>
    <w:rsid w:val="00686B48"/>
    <w:rsid w:val="00686E60"/>
    <w:rsid w:val="006907D0"/>
    <w:rsid w:val="0069281C"/>
    <w:rsid w:val="00693B70"/>
    <w:rsid w:val="00694136"/>
    <w:rsid w:val="00696402"/>
    <w:rsid w:val="006965FF"/>
    <w:rsid w:val="00697EF4"/>
    <w:rsid w:val="006A0B7C"/>
    <w:rsid w:val="006A10D1"/>
    <w:rsid w:val="006A1388"/>
    <w:rsid w:val="006A19AF"/>
    <w:rsid w:val="006A19C0"/>
    <w:rsid w:val="006A19F4"/>
    <w:rsid w:val="006A1CFA"/>
    <w:rsid w:val="006A26A3"/>
    <w:rsid w:val="006A2AE8"/>
    <w:rsid w:val="006A4856"/>
    <w:rsid w:val="006A5410"/>
    <w:rsid w:val="006A5993"/>
    <w:rsid w:val="006A5D3F"/>
    <w:rsid w:val="006A626F"/>
    <w:rsid w:val="006A643B"/>
    <w:rsid w:val="006A6902"/>
    <w:rsid w:val="006A72EA"/>
    <w:rsid w:val="006B01B8"/>
    <w:rsid w:val="006B0569"/>
    <w:rsid w:val="006B1C18"/>
    <w:rsid w:val="006B2862"/>
    <w:rsid w:val="006B2B1D"/>
    <w:rsid w:val="006B38FB"/>
    <w:rsid w:val="006B3F02"/>
    <w:rsid w:val="006B4CEA"/>
    <w:rsid w:val="006B6875"/>
    <w:rsid w:val="006B6E88"/>
    <w:rsid w:val="006B703D"/>
    <w:rsid w:val="006B7252"/>
    <w:rsid w:val="006B74EE"/>
    <w:rsid w:val="006B7B6A"/>
    <w:rsid w:val="006B7ECC"/>
    <w:rsid w:val="006C0B94"/>
    <w:rsid w:val="006C1545"/>
    <w:rsid w:val="006C174E"/>
    <w:rsid w:val="006C1B95"/>
    <w:rsid w:val="006C2515"/>
    <w:rsid w:val="006C2CD5"/>
    <w:rsid w:val="006C30F3"/>
    <w:rsid w:val="006C3CE5"/>
    <w:rsid w:val="006C4B19"/>
    <w:rsid w:val="006C58CE"/>
    <w:rsid w:val="006C69C6"/>
    <w:rsid w:val="006C7251"/>
    <w:rsid w:val="006D17DF"/>
    <w:rsid w:val="006D2588"/>
    <w:rsid w:val="006D264C"/>
    <w:rsid w:val="006D26C0"/>
    <w:rsid w:val="006D272C"/>
    <w:rsid w:val="006D2E26"/>
    <w:rsid w:val="006D34AA"/>
    <w:rsid w:val="006D431D"/>
    <w:rsid w:val="006D4C1F"/>
    <w:rsid w:val="006D4F33"/>
    <w:rsid w:val="006D56C9"/>
    <w:rsid w:val="006D59EB"/>
    <w:rsid w:val="006D5A94"/>
    <w:rsid w:val="006D73D0"/>
    <w:rsid w:val="006D74F0"/>
    <w:rsid w:val="006E0499"/>
    <w:rsid w:val="006E0D43"/>
    <w:rsid w:val="006E107F"/>
    <w:rsid w:val="006E2552"/>
    <w:rsid w:val="006E2843"/>
    <w:rsid w:val="006E3F18"/>
    <w:rsid w:val="006E4747"/>
    <w:rsid w:val="006E5788"/>
    <w:rsid w:val="006E6A14"/>
    <w:rsid w:val="006F02FD"/>
    <w:rsid w:val="006F1228"/>
    <w:rsid w:val="006F149B"/>
    <w:rsid w:val="006F1701"/>
    <w:rsid w:val="006F3607"/>
    <w:rsid w:val="006F3F6D"/>
    <w:rsid w:val="006F44CA"/>
    <w:rsid w:val="006F4631"/>
    <w:rsid w:val="006F481C"/>
    <w:rsid w:val="006F53FB"/>
    <w:rsid w:val="006F580E"/>
    <w:rsid w:val="006F5A5A"/>
    <w:rsid w:val="006F5AA3"/>
    <w:rsid w:val="006F654B"/>
    <w:rsid w:val="006F679E"/>
    <w:rsid w:val="006F6BD9"/>
    <w:rsid w:val="006F74D0"/>
    <w:rsid w:val="006F7CB6"/>
    <w:rsid w:val="0070019D"/>
    <w:rsid w:val="0070181A"/>
    <w:rsid w:val="00701C38"/>
    <w:rsid w:val="00702C7F"/>
    <w:rsid w:val="007030BE"/>
    <w:rsid w:val="00703E68"/>
    <w:rsid w:val="00704DD2"/>
    <w:rsid w:val="00705E8A"/>
    <w:rsid w:val="0070619A"/>
    <w:rsid w:val="00707719"/>
    <w:rsid w:val="00707EA7"/>
    <w:rsid w:val="007103E0"/>
    <w:rsid w:val="007106AB"/>
    <w:rsid w:val="007107DB"/>
    <w:rsid w:val="00710AB4"/>
    <w:rsid w:val="00710E64"/>
    <w:rsid w:val="00713560"/>
    <w:rsid w:val="007139A5"/>
    <w:rsid w:val="0071502C"/>
    <w:rsid w:val="007163BB"/>
    <w:rsid w:val="00717D81"/>
    <w:rsid w:val="00717F6B"/>
    <w:rsid w:val="007212B1"/>
    <w:rsid w:val="00721CAA"/>
    <w:rsid w:val="0072304C"/>
    <w:rsid w:val="00723502"/>
    <w:rsid w:val="00723552"/>
    <w:rsid w:val="0072379C"/>
    <w:rsid w:val="0072405C"/>
    <w:rsid w:val="007248E8"/>
    <w:rsid w:val="00724BA7"/>
    <w:rsid w:val="00726789"/>
    <w:rsid w:val="00726EBB"/>
    <w:rsid w:val="00727334"/>
    <w:rsid w:val="0072735F"/>
    <w:rsid w:val="00727A86"/>
    <w:rsid w:val="00730D2E"/>
    <w:rsid w:val="0073146D"/>
    <w:rsid w:val="007318F3"/>
    <w:rsid w:val="00731C97"/>
    <w:rsid w:val="00731E52"/>
    <w:rsid w:val="00733F43"/>
    <w:rsid w:val="0073467E"/>
    <w:rsid w:val="007351D3"/>
    <w:rsid w:val="00735227"/>
    <w:rsid w:val="007357B9"/>
    <w:rsid w:val="007360A0"/>
    <w:rsid w:val="00736C50"/>
    <w:rsid w:val="00736F9A"/>
    <w:rsid w:val="00737836"/>
    <w:rsid w:val="00737ACC"/>
    <w:rsid w:val="0074002F"/>
    <w:rsid w:val="00740312"/>
    <w:rsid w:val="007406BB"/>
    <w:rsid w:val="0074164E"/>
    <w:rsid w:val="00741C04"/>
    <w:rsid w:val="007427F6"/>
    <w:rsid w:val="00745DDE"/>
    <w:rsid w:val="00746B43"/>
    <w:rsid w:val="007471E2"/>
    <w:rsid w:val="0074796D"/>
    <w:rsid w:val="007503A3"/>
    <w:rsid w:val="00750A86"/>
    <w:rsid w:val="00751BAE"/>
    <w:rsid w:val="00751D64"/>
    <w:rsid w:val="00754E92"/>
    <w:rsid w:val="00755436"/>
    <w:rsid w:val="007569AE"/>
    <w:rsid w:val="0075765B"/>
    <w:rsid w:val="0075779D"/>
    <w:rsid w:val="007607E3"/>
    <w:rsid w:val="007610BE"/>
    <w:rsid w:val="007612AB"/>
    <w:rsid w:val="00761B31"/>
    <w:rsid w:val="007625DC"/>
    <w:rsid w:val="0076263E"/>
    <w:rsid w:val="007634A4"/>
    <w:rsid w:val="007635A7"/>
    <w:rsid w:val="00763715"/>
    <w:rsid w:val="00763ABD"/>
    <w:rsid w:val="00764524"/>
    <w:rsid w:val="007647A4"/>
    <w:rsid w:val="00765679"/>
    <w:rsid w:val="0076579A"/>
    <w:rsid w:val="00766E9C"/>
    <w:rsid w:val="00767948"/>
    <w:rsid w:val="00767C94"/>
    <w:rsid w:val="00767D02"/>
    <w:rsid w:val="007703C1"/>
    <w:rsid w:val="0077064F"/>
    <w:rsid w:val="00771617"/>
    <w:rsid w:val="00771AEE"/>
    <w:rsid w:val="007735D6"/>
    <w:rsid w:val="00773B48"/>
    <w:rsid w:val="00774073"/>
    <w:rsid w:val="00774327"/>
    <w:rsid w:val="00774AF8"/>
    <w:rsid w:val="0077507A"/>
    <w:rsid w:val="0077517C"/>
    <w:rsid w:val="007756C1"/>
    <w:rsid w:val="00775797"/>
    <w:rsid w:val="0077623F"/>
    <w:rsid w:val="007762E5"/>
    <w:rsid w:val="00776608"/>
    <w:rsid w:val="00776849"/>
    <w:rsid w:val="00777B4A"/>
    <w:rsid w:val="007803E0"/>
    <w:rsid w:val="007828B3"/>
    <w:rsid w:val="00783BE5"/>
    <w:rsid w:val="00784865"/>
    <w:rsid w:val="00784BA7"/>
    <w:rsid w:val="00784D09"/>
    <w:rsid w:val="0078549E"/>
    <w:rsid w:val="007911A4"/>
    <w:rsid w:val="007919EC"/>
    <w:rsid w:val="00792507"/>
    <w:rsid w:val="007945F1"/>
    <w:rsid w:val="0079676A"/>
    <w:rsid w:val="007972C3"/>
    <w:rsid w:val="007979AE"/>
    <w:rsid w:val="007A0256"/>
    <w:rsid w:val="007A0401"/>
    <w:rsid w:val="007A1E1A"/>
    <w:rsid w:val="007A346D"/>
    <w:rsid w:val="007A3773"/>
    <w:rsid w:val="007A41BA"/>
    <w:rsid w:val="007A45F3"/>
    <w:rsid w:val="007A4DD7"/>
    <w:rsid w:val="007A5237"/>
    <w:rsid w:val="007A5928"/>
    <w:rsid w:val="007A5E17"/>
    <w:rsid w:val="007A65FD"/>
    <w:rsid w:val="007A6F6D"/>
    <w:rsid w:val="007A701E"/>
    <w:rsid w:val="007A71E6"/>
    <w:rsid w:val="007A7D11"/>
    <w:rsid w:val="007A7EF0"/>
    <w:rsid w:val="007B02B7"/>
    <w:rsid w:val="007B06C3"/>
    <w:rsid w:val="007B1401"/>
    <w:rsid w:val="007B15A7"/>
    <w:rsid w:val="007B173D"/>
    <w:rsid w:val="007B28C7"/>
    <w:rsid w:val="007B28EE"/>
    <w:rsid w:val="007B3990"/>
    <w:rsid w:val="007B3E1F"/>
    <w:rsid w:val="007B3F78"/>
    <w:rsid w:val="007B5073"/>
    <w:rsid w:val="007B5580"/>
    <w:rsid w:val="007B5BE2"/>
    <w:rsid w:val="007B5F15"/>
    <w:rsid w:val="007B6051"/>
    <w:rsid w:val="007B6291"/>
    <w:rsid w:val="007B7697"/>
    <w:rsid w:val="007B7C58"/>
    <w:rsid w:val="007C293F"/>
    <w:rsid w:val="007C3E7B"/>
    <w:rsid w:val="007C4223"/>
    <w:rsid w:val="007C4236"/>
    <w:rsid w:val="007C4268"/>
    <w:rsid w:val="007C4B91"/>
    <w:rsid w:val="007C5CF9"/>
    <w:rsid w:val="007C6608"/>
    <w:rsid w:val="007C67A5"/>
    <w:rsid w:val="007C6DCD"/>
    <w:rsid w:val="007C776B"/>
    <w:rsid w:val="007C7A05"/>
    <w:rsid w:val="007D0676"/>
    <w:rsid w:val="007D0950"/>
    <w:rsid w:val="007D0981"/>
    <w:rsid w:val="007D09E8"/>
    <w:rsid w:val="007D0F38"/>
    <w:rsid w:val="007D13E9"/>
    <w:rsid w:val="007D1674"/>
    <w:rsid w:val="007D1CCC"/>
    <w:rsid w:val="007D1E52"/>
    <w:rsid w:val="007D28E4"/>
    <w:rsid w:val="007D29E1"/>
    <w:rsid w:val="007D3020"/>
    <w:rsid w:val="007D343D"/>
    <w:rsid w:val="007D45D3"/>
    <w:rsid w:val="007D4CE0"/>
    <w:rsid w:val="007D58FE"/>
    <w:rsid w:val="007D632A"/>
    <w:rsid w:val="007E0332"/>
    <w:rsid w:val="007E0E54"/>
    <w:rsid w:val="007E0EC9"/>
    <w:rsid w:val="007E147B"/>
    <w:rsid w:val="007E1548"/>
    <w:rsid w:val="007E4D0A"/>
    <w:rsid w:val="007E566D"/>
    <w:rsid w:val="007E5C59"/>
    <w:rsid w:val="007E5D0A"/>
    <w:rsid w:val="007E5ED3"/>
    <w:rsid w:val="007E68EE"/>
    <w:rsid w:val="007F02EE"/>
    <w:rsid w:val="007F04F6"/>
    <w:rsid w:val="007F313F"/>
    <w:rsid w:val="007F393F"/>
    <w:rsid w:val="007F39A6"/>
    <w:rsid w:val="007F43BD"/>
    <w:rsid w:val="007F453B"/>
    <w:rsid w:val="007F586C"/>
    <w:rsid w:val="007F6552"/>
    <w:rsid w:val="007F6C92"/>
    <w:rsid w:val="007F7841"/>
    <w:rsid w:val="007F7884"/>
    <w:rsid w:val="00800029"/>
    <w:rsid w:val="00800065"/>
    <w:rsid w:val="008003F0"/>
    <w:rsid w:val="00800CA5"/>
    <w:rsid w:val="00801103"/>
    <w:rsid w:val="008016B4"/>
    <w:rsid w:val="0080292D"/>
    <w:rsid w:val="00802BEB"/>
    <w:rsid w:val="00802DBA"/>
    <w:rsid w:val="008033E7"/>
    <w:rsid w:val="00803FFD"/>
    <w:rsid w:val="00804319"/>
    <w:rsid w:val="00804F25"/>
    <w:rsid w:val="00804F35"/>
    <w:rsid w:val="008051E5"/>
    <w:rsid w:val="00805ACC"/>
    <w:rsid w:val="008073DE"/>
    <w:rsid w:val="00810857"/>
    <w:rsid w:val="0081103A"/>
    <w:rsid w:val="0081177D"/>
    <w:rsid w:val="00811C45"/>
    <w:rsid w:val="00811F90"/>
    <w:rsid w:val="00813B80"/>
    <w:rsid w:val="00813DBF"/>
    <w:rsid w:val="0081496C"/>
    <w:rsid w:val="00816CEB"/>
    <w:rsid w:val="0081761C"/>
    <w:rsid w:val="00820D14"/>
    <w:rsid w:val="0082283A"/>
    <w:rsid w:val="0082287D"/>
    <w:rsid w:val="0082359D"/>
    <w:rsid w:val="0082400A"/>
    <w:rsid w:val="008245DC"/>
    <w:rsid w:val="00824B67"/>
    <w:rsid w:val="00824BBD"/>
    <w:rsid w:val="008267B2"/>
    <w:rsid w:val="008274A0"/>
    <w:rsid w:val="0082790F"/>
    <w:rsid w:val="0082797D"/>
    <w:rsid w:val="00827AA1"/>
    <w:rsid w:val="00827D3B"/>
    <w:rsid w:val="00832E09"/>
    <w:rsid w:val="0083359F"/>
    <w:rsid w:val="00834092"/>
    <w:rsid w:val="00834600"/>
    <w:rsid w:val="00834F87"/>
    <w:rsid w:val="00837790"/>
    <w:rsid w:val="00837AF7"/>
    <w:rsid w:val="00840BCE"/>
    <w:rsid w:val="00840D36"/>
    <w:rsid w:val="00841007"/>
    <w:rsid w:val="00841127"/>
    <w:rsid w:val="00842C8E"/>
    <w:rsid w:val="00842F1E"/>
    <w:rsid w:val="00844753"/>
    <w:rsid w:val="008449D9"/>
    <w:rsid w:val="00844F20"/>
    <w:rsid w:val="00845069"/>
    <w:rsid w:val="00845688"/>
    <w:rsid w:val="00846306"/>
    <w:rsid w:val="008472FA"/>
    <w:rsid w:val="008516A1"/>
    <w:rsid w:val="00851733"/>
    <w:rsid w:val="00852696"/>
    <w:rsid w:val="00854F07"/>
    <w:rsid w:val="00855229"/>
    <w:rsid w:val="00855AE9"/>
    <w:rsid w:val="00855B81"/>
    <w:rsid w:val="00855E1A"/>
    <w:rsid w:val="00857627"/>
    <w:rsid w:val="0085767A"/>
    <w:rsid w:val="008576ED"/>
    <w:rsid w:val="00857B15"/>
    <w:rsid w:val="00862224"/>
    <w:rsid w:val="00863B76"/>
    <w:rsid w:val="00864C34"/>
    <w:rsid w:val="00865ED6"/>
    <w:rsid w:val="00866528"/>
    <w:rsid w:val="00866566"/>
    <w:rsid w:val="0086673B"/>
    <w:rsid w:val="008672D5"/>
    <w:rsid w:val="00867952"/>
    <w:rsid w:val="00867AF3"/>
    <w:rsid w:val="00870FF3"/>
    <w:rsid w:val="0087116F"/>
    <w:rsid w:val="00871807"/>
    <w:rsid w:val="008727E9"/>
    <w:rsid w:val="008732D2"/>
    <w:rsid w:val="0087345B"/>
    <w:rsid w:val="00873721"/>
    <w:rsid w:val="00874633"/>
    <w:rsid w:val="00874B10"/>
    <w:rsid w:val="0087594C"/>
    <w:rsid w:val="008759FF"/>
    <w:rsid w:val="00875A5D"/>
    <w:rsid w:val="00875C5A"/>
    <w:rsid w:val="00875F8B"/>
    <w:rsid w:val="008763AF"/>
    <w:rsid w:val="00880DE9"/>
    <w:rsid w:val="00881988"/>
    <w:rsid w:val="00881A88"/>
    <w:rsid w:val="00881FF4"/>
    <w:rsid w:val="00882577"/>
    <w:rsid w:val="00884321"/>
    <w:rsid w:val="00884C3C"/>
    <w:rsid w:val="008854F9"/>
    <w:rsid w:val="00885602"/>
    <w:rsid w:val="00885EE9"/>
    <w:rsid w:val="008869A0"/>
    <w:rsid w:val="00887F79"/>
    <w:rsid w:val="0089061B"/>
    <w:rsid w:val="00890BD3"/>
    <w:rsid w:val="00891693"/>
    <w:rsid w:val="00891876"/>
    <w:rsid w:val="00891B12"/>
    <w:rsid w:val="008921D1"/>
    <w:rsid w:val="008926AD"/>
    <w:rsid w:val="00892C9B"/>
    <w:rsid w:val="008930BA"/>
    <w:rsid w:val="00894023"/>
    <w:rsid w:val="008943D2"/>
    <w:rsid w:val="00894E77"/>
    <w:rsid w:val="0089515D"/>
    <w:rsid w:val="008951F2"/>
    <w:rsid w:val="00895E10"/>
    <w:rsid w:val="00896245"/>
    <w:rsid w:val="0089672C"/>
    <w:rsid w:val="008967A1"/>
    <w:rsid w:val="00896CF0"/>
    <w:rsid w:val="0089700E"/>
    <w:rsid w:val="008A042C"/>
    <w:rsid w:val="008A0461"/>
    <w:rsid w:val="008A14D5"/>
    <w:rsid w:val="008A160D"/>
    <w:rsid w:val="008A1E93"/>
    <w:rsid w:val="008A2650"/>
    <w:rsid w:val="008A5048"/>
    <w:rsid w:val="008A552B"/>
    <w:rsid w:val="008A565F"/>
    <w:rsid w:val="008A619C"/>
    <w:rsid w:val="008B0A80"/>
    <w:rsid w:val="008B0C39"/>
    <w:rsid w:val="008B208B"/>
    <w:rsid w:val="008B235F"/>
    <w:rsid w:val="008B25B1"/>
    <w:rsid w:val="008B298C"/>
    <w:rsid w:val="008B2ECE"/>
    <w:rsid w:val="008B3061"/>
    <w:rsid w:val="008B32A0"/>
    <w:rsid w:val="008B382C"/>
    <w:rsid w:val="008B415A"/>
    <w:rsid w:val="008B4FCC"/>
    <w:rsid w:val="008B5339"/>
    <w:rsid w:val="008B5BB2"/>
    <w:rsid w:val="008B5C5F"/>
    <w:rsid w:val="008B774A"/>
    <w:rsid w:val="008B7E8C"/>
    <w:rsid w:val="008C1A0E"/>
    <w:rsid w:val="008C1C0B"/>
    <w:rsid w:val="008C32BE"/>
    <w:rsid w:val="008C3677"/>
    <w:rsid w:val="008C3D49"/>
    <w:rsid w:val="008C547D"/>
    <w:rsid w:val="008C5616"/>
    <w:rsid w:val="008C64A0"/>
    <w:rsid w:val="008C6CB5"/>
    <w:rsid w:val="008C6FF4"/>
    <w:rsid w:val="008C737F"/>
    <w:rsid w:val="008D03BF"/>
    <w:rsid w:val="008D2FE3"/>
    <w:rsid w:val="008D5F6A"/>
    <w:rsid w:val="008D753C"/>
    <w:rsid w:val="008D7B58"/>
    <w:rsid w:val="008E0223"/>
    <w:rsid w:val="008E02D3"/>
    <w:rsid w:val="008E2D19"/>
    <w:rsid w:val="008E347E"/>
    <w:rsid w:val="008E352E"/>
    <w:rsid w:val="008E4318"/>
    <w:rsid w:val="008E4DAA"/>
    <w:rsid w:val="008E4E8B"/>
    <w:rsid w:val="008E5C97"/>
    <w:rsid w:val="008E684D"/>
    <w:rsid w:val="008E6E43"/>
    <w:rsid w:val="008E7A81"/>
    <w:rsid w:val="008F0475"/>
    <w:rsid w:val="008F0A6E"/>
    <w:rsid w:val="008F0B6C"/>
    <w:rsid w:val="008F1A57"/>
    <w:rsid w:val="008F1D32"/>
    <w:rsid w:val="008F2593"/>
    <w:rsid w:val="008F2B8A"/>
    <w:rsid w:val="008F2F1E"/>
    <w:rsid w:val="008F32B1"/>
    <w:rsid w:val="008F35E4"/>
    <w:rsid w:val="008F485B"/>
    <w:rsid w:val="008F5156"/>
    <w:rsid w:val="008F77F9"/>
    <w:rsid w:val="008F7B8C"/>
    <w:rsid w:val="00902435"/>
    <w:rsid w:val="00903DD8"/>
    <w:rsid w:val="00904A82"/>
    <w:rsid w:val="00905EE6"/>
    <w:rsid w:val="0090709F"/>
    <w:rsid w:val="009073CC"/>
    <w:rsid w:val="00907A4D"/>
    <w:rsid w:val="00910ED0"/>
    <w:rsid w:val="009110D0"/>
    <w:rsid w:val="009136A3"/>
    <w:rsid w:val="00913D2E"/>
    <w:rsid w:val="00913E6A"/>
    <w:rsid w:val="00913FF6"/>
    <w:rsid w:val="00914273"/>
    <w:rsid w:val="009157DC"/>
    <w:rsid w:val="00915BF9"/>
    <w:rsid w:val="00916987"/>
    <w:rsid w:val="009171C4"/>
    <w:rsid w:val="0091771B"/>
    <w:rsid w:val="00917AB6"/>
    <w:rsid w:val="00917B20"/>
    <w:rsid w:val="00920F13"/>
    <w:rsid w:val="0092210E"/>
    <w:rsid w:val="009221C9"/>
    <w:rsid w:val="00922EFF"/>
    <w:rsid w:val="009232BF"/>
    <w:rsid w:val="00924531"/>
    <w:rsid w:val="009250EF"/>
    <w:rsid w:val="009256B0"/>
    <w:rsid w:val="00925D6D"/>
    <w:rsid w:val="00927091"/>
    <w:rsid w:val="00927A8A"/>
    <w:rsid w:val="00930D0B"/>
    <w:rsid w:val="00930F33"/>
    <w:rsid w:val="009314D7"/>
    <w:rsid w:val="0093198C"/>
    <w:rsid w:val="009319DF"/>
    <w:rsid w:val="00931E4A"/>
    <w:rsid w:val="00932BD1"/>
    <w:rsid w:val="00932D23"/>
    <w:rsid w:val="00933ADD"/>
    <w:rsid w:val="00933BDB"/>
    <w:rsid w:val="009342A1"/>
    <w:rsid w:val="0093549A"/>
    <w:rsid w:val="009379F4"/>
    <w:rsid w:val="009419EB"/>
    <w:rsid w:val="009434A8"/>
    <w:rsid w:val="0094374A"/>
    <w:rsid w:val="0094393F"/>
    <w:rsid w:val="00944527"/>
    <w:rsid w:val="009453EB"/>
    <w:rsid w:val="00945806"/>
    <w:rsid w:val="00945BE7"/>
    <w:rsid w:val="00946484"/>
    <w:rsid w:val="00946DDD"/>
    <w:rsid w:val="009470C4"/>
    <w:rsid w:val="0094721A"/>
    <w:rsid w:val="00947B25"/>
    <w:rsid w:val="00947C69"/>
    <w:rsid w:val="00950383"/>
    <w:rsid w:val="009518DF"/>
    <w:rsid w:val="0095280E"/>
    <w:rsid w:val="00952B85"/>
    <w:rsid w:val="00952E1A"/>
    <w:rsid w:val="009531CC"/>
    <w:rsid w:val="0095348E"/>
    <w:rsid w:val="00953E26"/>
    <w:rsid w:val="009545D7"/>
    <w:rsid w:val="009558C1"/>
    <w:rsid w:val="00955F2C"/>
    <w:rsid w:val="00957825"/>
    <w:rsid w:val="00957E33"/>
    <w:rsid w:val="0096198E"/>
    <w:rsid w:val="00961E37"/>
    <w:rsid w:val="00961FFD"/>
    <w:rsid w:val="00963302"/>
    <w:rsid w:val="00963FCF"/>
    <w:rsid w:val="0096499C"/>
    <w:rsid w:val="00964E20"/>
    <w:rsid w:val="00964F2A"/>
    <w:rsid w:val="009651FE"/>
    <w:rsid w:val="00965397"/>
    <w:rsid w:val="009657D0"/>
    <w:rsid w:val="0096611D"/>
    <w:rsid w:val="00966307"/>
    <w:rsid w:val="009664C2"/>
    <w:rsid w:val="00966666"/>
    <w:rsid w:val="00966B10"/>
    <w:rsid w:val="00970D4B"/>
    <w:rsid w:val="009718DA"/>
    <w:rsid w:val="00971C21"/>
    <w:rsid w:val="00971E25"/>
    <w:rsid w:val="0097218C"/>
    <w:rsid w:val="00972381"/>
    <w:rsid w:val="00972413"/>
    <w:rsid w:val="0097243E"/>
    <w:rsid w:val="0097255E"/>
    <w:rsid w:val="00972D63"/>
    <w:rsid w:val="00972E9E"/>
    <w:rsid w:val="009736E5"/>
    <w:rsid w:val="00973FA8"/>
    <w:rsid w:val="00975218"/>
    <w:rsid w:val="0097606F"/>
    <w:rsid w:val="00976EBD"/>
    <w:rsid w:val="00980221"/>
    <w:rsid w:val="009810C1"/>
    <w:rsid w:val="009814B3"/>
    <w:rsid w:val="00987E20"/>
    <w:rsid w:val="00987ECB"/>
    <w:rsid w:val="00992FA6"/>
    <w:rsid w:val="00993B9A"/>
    <w:rsid w:val="00994669"/>
    <w:rsid w:val="00994812"/>
    <w:rsid w:val="00994F5D"/>
    <w:rsid w:val="0099597D"/>
    <w:rsid w:val="00995CF6"/>
    <w:rsid w:val="00997680"/>
    <w:rsid w:val="009979EB"/>
    <w:rsid w:val="00997B38"/>
    <w:rsid w:val="00997B3E"/>
    <w:rsid w:val="009A002E"/>
    <w:rsid w:val="009A00F5"/>
    <w:rsid w:val="009A1908"/>
    <w:rsid w:val="009A3B1C"/>
    <w:rsid w:val="009A420B"/>
    <w:rsid w:val="009A4F00"/>
    <w:rsid w:val="009A4F42"/>
    <w:rsid w:val="009A5DC9"/>
    <w:rsid w:val="009A641E"/>
    <w:rsid w:val="009A64B1"/>
    <w:rsid w:val="009B04F4"/>
    <w:rsid w:val="009B0625"/>
    <w:rsid w:val="009B374A"/>
    <w:rsid w:val="009B3AEC"/>
    <w:rsid w:val="009B5013"/>
    <w:rsid w:val="009B53B6"/>
    <w:rsid w:val="009B5533"/>
    <w:rsid w:val="009B6D9F"/>
    <w:rsid w:val="009B76A1"/>
    <w:rsid w:val="009B7EDE"/>
    <w:rsid w:val="009B7FE3"/>
    <w:rsid w:val="009C1D29"/>
    <w:rsid w:val="009C34DB"/>
    <w:rsid w:val="009C3739"/>
    <w:rsid w:val="009C3D78"/>
    <w:rsid w:val="009C5BCC"/>
    <w:rsid w:val="009C5C92"/>
    <w:rsid w:val="009C62BD"/>
    <w:rsid w:val="009C648F"/>
    <w:rsid w:val="009C7E94"/>
    <w:rsid w:val="009D09B1"/>
    <w:rsid w:val="009D0FBB"/>
    <w:rsid w:val="009D1761"/>
    <w:rsid w:val="009D26C2"/>
    <w:rsid w:val="009D4238"/>
    <w:rsid w:val="009D4628"/>
    <w:rsid w:val="009D46A9"/>
    <w:rsid w:val="009D54F4"/>
    <w:rsid w:val="009D54F9"/>
    <w:rsid w:val="009D5FBB"/>
    <w:rsid w:val="009D6531"/>
    <w:rsid w:val="009D6C0E"/>
    <w:rsid w:val="009D7286"/>
    <w:rsid w:val="009E0A67"/>
    <w:rsid w:val="009E0B83"/>
    <w:rsid w:val="009E15FB"/>
    <w:rsid w:val="009E18EE"/>
    <w:rsid w:val="009E192B"/>
    <w:rsid w:val="009E1A69"/>
    <w:rsid w:val="009E2F28"/>
    <w:rsid w:val="009E5018"/>
    <w:rsid w:val="009E5B4F"/>
    <w:rsid w:val="009E5F57"/>
    <w:rsid w:val="009E7128"/>
    <w:rsid w:val="009F0465"/>
    <w:rsid w:val="009F11DB"/>
    <w:rsid w:val="009F2801"/>
    <w:rsid w:val="009F2EF9"/>
    <w:rsid w:val="009F32CD"/>
    <w:rsid w:val="009F38D8"/>
    <w:rsid w:val="009F3C0D"/>
    <w:rsid w:val="009F4C4C"/>
    <w:rsid w:val="009F5510"/>
    <w:rsid w:val="009F572B"/>
    <w:rsid w:val="009F577D"/>
    <w:rsid w:val="009F594A"/>
    <w:rsid w:val="009F5E5E"/>
    <w:rsid w:val="009F61AA"/>
    <w:rsid w:val="009F6E05"/>
    <w:rsid w:val="009F714C"/>
    <w:rsid w:val="009F7909"/>
    <w:rsid w:val="009F7B0D"/>
    <w:rsid w:val="00A00E10"/>
    <w:rsid w:val="00A01812"/>
    <w:rsid w:val="00A01BAE"/>
    <w:rsid w:val="00A01F04"/>
    <w:rsid w:val="00A02100"/>
    <w:rsid w:val="00A0247B"/>
    <w:rsid w:val="00A024DC"/>
    <w:rsid w:val="00A063DA"/>
    <w:rsid w:val="00A065FA"/>
    <w:rsid w:val="00A06988"/>
    <w:rsid w:val="00A06CE5"/>
    <w:rsid w:val="00A06DD7"/>
    <w:rsid w:val="00A07D31"/>
    <w:rsid w:val="00A102A9"/>
    <w:rsid w:val="00A13FCD"/>
    <w:rsid w:val="00A147C1"/>
    <w:rsid w:val="00A15299"/>
    <w:rsid w:val="00A156DB"/>
    <w:rsid w:val="00A162DF"/>
    <w:rsid w:val="00A16387"/>
    <w:rsid w:val="00A16393"/>
    <w:rsid w:val="00A16D7F"/>
    <w:rsid w:val="00A16DF7"/>
    <w:rsid w:val="00A179D1"/>
    <w:rsid w:val="00A21E29"/>
    <w:rsid w:val="00A228E2"/>
    <w:rsid w:val="00A22ECB"/>
    <w:rsid w:val="00A23208"/>
    <w:rsid w:val="00A24D7E"/>
    <w:rsid w:val="00A25125"/>
    <w:rsid w:val="00A25934"/>
    <w:rsid w:val="00A26F7B"/>
    <w:rsid w:val="00A2731A"/>
    <w:rsid w:val="00A304F9"/>
    <w:rsid w:val="00A30598"/>
    <w:rsid w:val="00A30CF8"/>
    <w:rsid w:val="00A31429"/>
    <w:rsid w:val="00A32286"/>
    <w:rsid w:val="00A3281A"/>
    <w:rsid w:val="00A328AA"/>
    <w:rsid w:val="00A3424C"/>
    <w:rsid w:val="00A3471D"/>
    <w:rsid w:val="00A34805"/>
    <w:rsid w:val="00A351DB"/>
    <w:rsid w:val="00A361CA"/>
    <w:rsid w:val="00A36CC7"/>
    <w:rsid w:val="00A36DAB"/>
    <w:rsid w:val="00A37592"/>
    <w:rsid w:val="00A37D82"/>
    <w:rsid w:val="00A405E6"/>
    <w:rsid w:val="00A409C1"/>
    <w:rsid w:val="00A40C92"/>
    <w:rsid w:val="00A41770"/>
    <w:rsid w:val="00A42819"/>
    <w:rsid w:val="00A429A1"/>
    <w:rsid w:val="00A43731"/>
    <w:rsid w:val="00A43AA3"/>
    <w:rsid w:val="00A43B0E"/>
    <w:rsid w:val="00A44074"/>
    <w:rsid w:val="00A45181"/>
    <w:rsid w:val="00A458F4"/>
    <w:rsid w:val="00A45990"/>
    <w:rsid w:val="00A45DB3"/>
    <w:rsid w:val="00A46784"/>
    <w:rsid w:val="00A46A77"/>
    <w:rsid w:val="00A4792A"/>
    <w:rsid w:val="00A5048B"/>
    <w:rsid w:val="00A54B0F"/>
    <w:rsid w:val="00A54D86"/>
    <w:rsid w:val="00A5616A"/>
    <w:rsid w:val="00A576D4"/>
    <w:rsid w:val="00A57B05"/>
    <w:rsid w:val="00A604D7"/>
    <w:rsid w:val="00A6138C"/>
    <w:rsid w:val="00A61B4B"/>
    <w:rsid w:val="00A61C71"/>
    <w:rsid w:val="00A62D50"/>
    <w:rsid w:val="00A643E2"/>
    <w:rsid w:val="00A64481"/>
    <w:rsid w:val="00A646EA"/>
    <w:rsid w:val="00A64F4F"/>
    <w:rsid w:val="00A65B9D"/>
    <w:rsid w:val="00A67699"/>
    <w:rsid w:val="00A70B25"/>
    <w:rsid w:val="00A72245"/>
    <w:rsid w:val="00A735EF"/>
    <w:rsid w:val="00A7438B"/>
    <w:rsid w:val="00A753CC"/>
    <w:rsid w:val="00A75818"/>
    <w:rsid w:val="00A75AAB"/>
    <w:rsid w:val="00A76CC7"/>
    <w:rsid w:val="00A7702A"/>
    <w:rsid w:val="00A77247"/>
    <w:rsid w:val="00A8056D"/>
    <w:rsid w:val="00A82637"/>
    <w:rsid w:val="00A830E7"/>
    <w:rsid w:val="00A83AB2"/>
    <w:rsid w:val="00A83B1F"/>
    <w:rsid w:val="00A846A9"/>
    <w:rsid w:val="00A8483B"/>
    <w:rsid w:val="00A84BE9"/>
    <w:rsid w:val="00A85E79"/>
    <w:rsid w:val="00A879F1"/>
    <w:rsid w:val="00A90236"/>
    <w:rsid w:val="00A903A0"/>
    <w:rsid w:val="00A9102F"/>
    <w:rsid w:val="00A91299"/>
    <w:rsid w:val="00A9186A"/>
    <w:rsid w:val="00A91C4D"/>
    <w:rsid w:val="00A931A5"/>
    <w:rsid w:val="00A9355C"/>
    <w:rsid w:val="00A942D2"/>
    <w:rsid w:val="00A9558F"/>
    <w:rsid w:val="00A96098"/>
    <w:rsid w:val="00A97F66"/>
    <w:rsid w:val="00AA1622"/>
    <w:rsid w:val="00AA297D"/>
    <w:rsid w:val="00AA3240"/>
    <w:rsid w:val="00AA3549"/>
    <w:rsid w:val="00AA3CBC"/>
    <w:rsid w:val="00AA3D2C"/>
    <w:rsid w:val="00AA4255"/>
    <w:rsid w:val="00AA4AF1"/>
    <w:rsid w:val="00AA541A"/>
    <w:rsid w:val="00AA6BE7"/>
    <w:rsid w:val="00AA7A14"/>
    <w:rsid w:val="00AB078D"/>
    <w:rsid w:val="00AB0A51"/>
    <w:rsid w:val="00AB0E55"/>
    <w:rsid w:val="00AB12E8"/>
    <w:rsid w:val="00AB12F9"/>
    <w:rsid w:val="00AB22D6"/>
    <w:rsid w:val="00AB2743"/>
    <w:rsid w:val="00AB2933"/>
    <w:rsid w:val="00AB2EAB"/>
    <w:rsid w:val="00AB2FEA"/>
    <w:rsid w:val="00AB3F30"/>
    <w:rsid w:val="00AB4534"/>
    <w:rsid w:val="00AB4A8F"/>
    <w:rsid w:val="00AB51D5"/>
    <w:rsid w:val="00AB5625"/>
    <w:rsid w:val="00AB59D9"/>
    <w:rsid w:val="00AB6879"/>
    <w:rsid w:val="00AB73B3"/>
    <w:rsid w:val="00AC003F"/>
    <w:rsid w:val="00AC0917"/>
    <w:rsid w:val="00AC0DAB"/>
    <w:rsid w:val="00AC22D4"/>
    <w:rsid w:val="00AC398B"/>
    <w:rsid w:val="00AC407A"/>
    <w:rsid w:val="00AC41DD"/>
    <w:rsid w:val="00AC4BB1"/>
    <w:rsid w:val="00AC4F96"/>
    <w:rsid w:val="00AC5E6F"/>
    <w:rsid w:val="00AC5FEB"/>
    <w:rsid w:val="00AC636E"/>
    <w:rsid w:val="00AC689D"/>
    <w:rsid w:val="00AC73C7"/>
    <w:rsid w:val="00AC7A5F"/>
    <w:rsid w:val="00AC7D2C"/>
    <w:rsid w:val="00AC7E55"/>
    <w:rsid w:val="00AD01C9"/>
    <w:rsid w:val="00AD0E46"/>
    <w:rsid w:val="00AD0F50"/>
    <w:rsid w:val="00AD1259"/>
    <w:rsid w:val="00AD1B2D"/>
    <w:rsid w:val="00AD1D66"/>
    <w:rsid w:val="00AD3198"/>
    <w:rsid w:val="00AD3AE3"/>
    <w:rsid w:val="00AD3E2E"/>
    <w:rsid w:val="00AD41A6"/>
    <w:rsid w:val="00AD4338"/>
    <w:rsid w:val="00AD43E1"/>
    <w:rsid w:val="00AD48EC"/>
    <w:rsid w:val="00AD6A76"/>
    <w:rsid w:val="00AD7029"/>
    <w:rsid w:val="00AE0649"/>
    <w:rsid w:val="00AE0F40"/>
    <w:rsid w:val="00AE2833"/>
    <w:rsid w:val="00AE401C"/>
    <w:rsid w:val="00AE4075"/>
    <w:rsid w:val="00AE47E6"/>
    <w:rsid w:val="00AE498A"/>
    <w:rsid w:val="00AE4E75"/>
    <w:rsid w:val="00AE4F70"/>
    <w:rsid w:val="00AE584D"/>
    <w:rsid w:val="00AE5BF5"/>
    <w:rsid w:val="00AE5F78"/>
    <w:rsid w:val="00AE713C"/>
    <w:rsid w:val="00AE7C29"/>
    <w:rsid w:val="00AF0501"/>
    <w:rsid w:val="00AF0AE9"/>
    <w:rsid w:val="00AF1025"/>
    <w:rsid w:val="00AF2087"/>
    <w:rsid w:val="00AF269C"/>
    <w:rsid w:val="00AF3EDD"/>
    <w:rsid w:val="00AF407C"/>
    <w:rsid w:val="00AF46F1"/>
    <w:rsid w:val="00AF52D5"/>
    <w:rsid w:val="00AF696B"/>
    <w:rsid w:val="00AF6DF9"/>
    <w:rsid w:val="00AF724F"/>
    <w:rsid w:val="00AF7733"/>
    <w:rsid w:val="00B012EF"/>
    <w:rsid w:val="00B01CA7"/>
    <w:rsid w:val="00B0204E"/>
    <w:rsid w:val="00B0220B"/>
    <w:rsid w:val="00B02703"/>
    <w:rsid w:val="00B05A06"/>
    <w:rsid w:val="00B05BC9"/>
    <w:rsid w:val="00B06A1F"/>
    <w:rsid w:val="00B07120"/>
    <w:rsid w:val="00B10BBE"/>
    <w:rsid w:val="00B111B4"/>
    <w:rsid w:val="00B11A65"/>
    <w:rsid w:val="00B13622"/>
    <w:rsid w:val="00B13C48"/>
    <w:rsid w:val="00B14158"/>
    <w:rsid w:val="00B14C62"/>
    <w:rsid w:val="00B15E95"/>
    <w:rsid w:val="00B16FDC"/>
    <w:rsid w:val="00B17269"/>
    <w:rsid w:val="00B177C8"/>
    <w:rsid w:val="00B17D6D"/>
    <w:rsid w:val="00B20B96"/>
    <w:rsid w:val="00B2108C"/>
    <w:rsid w:val="00B22515"/>
    <w:rsid w:val="00B234DA"/>
    <w:rsid w:val="00B24B04"/>
    <w:rsid w:val="00B25C06"/>
    <w:rsid w:val="00B30056"/>
    <w:rsid w:val="00B31083"/>
    <w:rsid w:val="00B3123D"/>
    <w:rsid w:val="00B319D6"/>
    <w:rsid w:val="00B3274D"/>
    <w:rsid w:val="00B32D2C"/>
    <w:rsid w:val="00B32FE5"/>
    <w:rsid w:val="00B330F9"/>
    <w:rsid w:val="00B33398"/>
    <w:rsid w:val="00B33F95"/>
    <w:rsid w:val="00B343DA"/>
    <w:rsid w:val="00B355E9"/>
    <w:rsid w:val="00B3702A"/>
    <w:rsid w:val="00B403A6"/>
    <w:rsid w:val="00B40628"/>
    <w:rsid w:val="00B41822"/>
    <w:rsid w:val="00B41F74"/>
    <w:rsid w:val="00B42036"/>
    <w:rsid w:val="00B4204A"/>
    <w:rsid w:val="00B42910"/>
    <w:rsid w:val="00B4353E"/>
    <w:rsid w:val="00B45514"/>
    <w:rsid w:val="00B45C5D"/>
    <w:rsid w:val="00B46305"/>
    <w:rsid w:val="00B464AD"/>
    <w:rsid w:val="00B46686"/>
    <w:rsid w:val="00B46C3E"/>
    <w:rsid w:val="00B50450"/>
    <w:rsid w:val="00B506A7"/>
    <w:rsid w:val="00B51706"/>
    <w:rsid w:val="00B51911"/>
    <w:rsid w:val="00B520AB"/>
    <w:rsid w:val="00B52647"/>
    <w:rsid w:val="00B52C36"/>
    <w:rsid w:val="00B531F2"/>
    <w:rsid w:val="00B539B0"/>
    <w:rsid w:val="00B53C03"/>
    <w:rsid w:val="00B53F71"/>
    <w:rsid w:val="00B54567"/>
    <w:rsid w:val="00B54D7F"/>
    <w:rsid w:val="00B550A3"/>
    <w:rsid w:val="00B55F49"/>
    <w:rsid w:val="00B57EB9"/>
    <w:rsid w:val="00B61707"/>
    <w:rsid w:val="00B62918"/>
    <w:rsid w:val="00B62E1D"/>
    <w:rsid w:val="00B63E2F"/>
    <w:rsid w:val="00B6446C"/>
    <w:rsid w:val="00B6600C"/>
    <w:rsid w:val="00B667FA"/>
    <w:rsid w:val="00B667FD"/>
    <w:rsid w:val="00B67080"/>
    <w:rsid w:val="00B670A2"/>
    <w:rsid w:val="00B67AF0"/>
    <w:rsid w:val="00B71168"/>
    <w:rsid w:val="00B7126C"/>
    <w:rsid w:val="00B71F0F"/>
    <w:rsid w:val="00B71F27"/>
    <w:rsid w:val="00B73755"/>
    <w:rsid w:val="00B746CD"/>
    <w:rsid w:val="00B74896"/>
    <w:rsid w:val="00B74EB6"/>
    <w:rsid w:val="00B75219"/>
    <w:rsid w:val="00B76283"/>
    <w:rsid w:val="00B76FAE"/>
    <w:rsid w:val="00B8021B"/>
    <w:rsid w:val="00B812CC"/>
    <w:rsid w:val="00B81BD9"/>
    <w:rsid w:val="00B82145"/>
    <w:rsid w:val="00B82A4A"/>
    <w:rsid w:val="00B82C18"/>
    <w:rsid w:val="00B82CEE"/>
    <w:rsid w:val="00B84DEA"/>
    <w:rsid w:val="00B8500E"/>
    <w:rsid w:val="00B854C1"/>
    <w:rsid w:val="00B85D89"/>
    <w:rsid w:val="00B870E4"/>
    <w:rsid w:val="00B87C40"/>
    <w:rsid w:val="00B90A19"/>
    <w:rsid w:val="00B90A3D"/>
    <w:rsid w:val="00B90CA5"/>
    <w:rsid w:val="00B91881"/>
    <w:rsid w:val="00B92570"/>
    <w:rsid w:val="00B93A06"/>
    <w:rsid w:val="00B9416E"/>
    <w:rsid w:val="00B9439C"/>
    <w:rsid w:val="00B94516"/>
    <w:rsid w:val="00B945BD"/>
    <w:rsid w:val="00B94B83"/>
    <w:rsid w:val="00B9521C"/>
    <w:rsid w:val="00B954AF"/>
    <w:rsid w:val="00B960E8"/>
    <w:rsid w:val="00B96101"/>
    <w:rsid w:val="00B966B2"/>
    <w:rsid w:val="00B97523"/>
    <w:rsid w:val="00B97EE8"/>
    <w:rsid w:val="00BA0FF9"/>
    <w:rsid w:val="00BA18FC"/>
    <w:rsid w:val="00BA29FE"/>
    <w:rsid w:val="00BA3A28"/>
    <w:rsid w:val="00BA41F4"/>
    <w:rsid w:val="00BA4BAE"/>
    <w:rsid w:val="00BA52DD"/>
    <w:rsid w:val="00BA55FF"/>
    <w:rsid w:val="00BA5709"/>
    <w:rsid w:val="00BA5A8F"/>
    <w:rsid w:val="00BA6E3A"/>
    <w:rsid w:val="00BA7119"/>
    <w:rsid w:val="00BB03FB"/>
    <w:rsid w:val="00BB07D7"/>
    <w:rsid w:val="00BB1845"/>
    <w:rsid w:val="00BB20A7"/>
    <w:rsid w:val="00BB2959"/>
    <w:rsid w:val="00BB3EB2"/>
    <w:rsid w:val="00BB4775"/>
    <w:rsid w:val="00BB50A7"/>
    <w:rsid w:val="00BB5C2D"/>
    <w:rsid w:val="00BB62BA"/>
    <w:rsid w:val="00BB631A"/>
    <w:rsid w:val="00BB76EA"/>
    <w:rsid w:val="00BB76FF"/>
    <w:rsid w:val="00BB7998"/>
    <w:rsid w:val="00BC0FDB"/>
    <w:rsid w:val="00BC12E3"/>
    <w:rsid w:val="00BC2468"/>
    <w:rsid w:val="00BC35B3"/>
    <w:rsid w:val="00BC365E"/>
    <w:rsid w:val="00BC7D31"/>
    <w:rsid w:val="00BD0234"/>
    <w:rsid w:val="00BD0F90"/>
    <w:rsid w:val="00BD352D"/>
    <w:rsid w:val="00BD3AF6"/>
    <w:rsid w:val="00BD4AEA"/>
    <w:rsid w:val="00BD56CB"/>
    <w:rsid w:val="00BD5DAE"/>
    <w:rsid w:val="00BD66A6"/>
    <w:rsid w:val="00BD6EA9"/>
    <w:rsid w:val="00BD6F53"/>
    <w:rsid w:val="00BD7870"/>
    <w:rsid w:val="00BD7B03"/>
    <w:rsid w:val="00BE087F"/>
    <w:rsid w:val="00BE0A99"/>
    <w:rsid w:val="00BE0BAE"/>
    <w:rsid w:val="00BE108F"/>
    <w:rsid w:val="00BE109F"/>
    <w:rsid w:val="00BE1936"/>
    <w:rsid w:val="00BE2052"/>
    <w:rsid w:val="00BE2186"/>
    <w:rsid w:val="00BE22FD"/>
    <w:rsid w:val="00BE35D1"/>
    <w:rsid w:val="00BE5508"/>
    <w:rsid w:val="00BE6E59"/>
    <w:rsid w:val="00BE705B"/>
    <w:rsid w:val="00BE72F1"/>
    <w:rsid w:val="00BE73F7"/>
    <w:rsid w:val="00BF08C5"/>
    <w:rsid w:val="00BF14D8"/>
    <w:rsid w:val="00BF1685"/>
    <w:rsid w:val="00BF16DC"/>
    <w:rsid w:val="00BF16FF"/>
    <w:rsid w:val="00BF204F"/>
    <w:rsid w:val="00BF25FD"/>
    <w:rsid w:val="00BF2A5F"/>
    <w:rsid w:val="00BF2D86"/>
    <w:rsid w:val="00BF4D7E"/>
    <w:rsid w:val="00BF5875"/>
    <w:rsid w:val="00BF647C"/>
    <w:rsid w:val="00C01289"/>
    <w:rsid w:val="00C01DD3"/>
    <w:rsid w:val="00C03E78"/>
    <w:rsid w:val="00C053A3"/>
    <w:rsid w:val="00C05968"/>
    <w:rsid w:val="00C060E2"/>
    <w:rsid w:val="00C06113"/>
    <w:rsid w:val="00C075B8"/>
    <w:rsid w:val="00C07EB7"/>
    <w:rsid w:val="00C10C87"/>
    <w:rsid w:val="00C115BF"/>
    <w:rsid w:val="00C1199D"/>
    <w:rsid w:val="00C12537"/>
    <w:rsid w:val="00C125BA"/>
    <w:rsid w:val="00C1323F"/>
    <w:rsid w:val="00C13550"/>
    <w:rsid w:val="00C136F9"/>
    <w:rsid w:val="00C140DD"/>
    <w:rsid w:val="00C1454E"/>
    <w:rsid w:val="00C148A6"/>
    <w:rsid w:val="00C15259"/>
    <w:rsid w:val="00C15286"/>
    <w:rsid w:val="00C20028"/>
    <w:rsid w:val="00C21558"/>
    <w:rsid w:val="00C233C9"/>
    <w:rsid w:val="00C23C44"/>
    <w:rsid w:val="00C24444"/>
    <w:rsid w:val="00C246AB"/>
    <w:rsid w:val="00C254E0"/>
    <w:rsid w:val="00C25D56"/>
    <w:rsid w:val="00C26C6E"/>
    <w:rsid w:val="00C26DBA"/>
    <w:rsid w:val="00C2703C"/>
    <w:rsid w:val="00C3030E"/>
    <w:rsid w:val="00C3055D"/>
    <w:rsid w:val="00C31BEC"/>
    <w:rsid w:val="00C32D6B"/>
    <w:rsid w:val="00C3561C"/>
    <w:rsid w:val="00C36420"/>
    <w:rsid w:val="00C366E3"/>
    <w:rsid w:val="00C36B48"/>
    <w:rsid w:val="00C36E36"/>
    <w:rsid w:val="00C37518"/>
    <w:rsid w:val="00C37F53"/>
    <w:rsid w:val="00C401DF"/>
    <w:rsid w:val="00C40E2D"/>
    <w:rsid w:val="00C4112E"/>
    <w:rsid w:val="00C4125F"/>
    <w:rsid w:val="00C43AFB"/>
    <w:rsid w:val="00C43DBF"/>
    <w:rsid w:val="00C440A6"/>
    <w:rsid w:val="00C44BC4"/>
    <w:rsid w:val="00C44D4A"/>
    <w:rsid w:val="00C44EAD"/>
    <w:rsid w:val="00C45A73"/>
    <w:rsid w:val="00C45E1A"/>
    <w:rsid w:val="00C46BB0"/>
    <w:rsid w:val="00C47878"/>
    <w:rsid w:val="00C508C5"/>
    <w:rsid w:val="00C51856"/>
    <w:rsid w:val="00C534E1"/>
    <w:rsid w:val="00C5355F"/>
    <w:rsid w:val="00C5374F"/>
    <w:rsid w:val="00C54EFF"/>
    <w:rsid w:val="00C56C35"/>
    <w:rsid w:val="00C56F04"/>
    <w:rsid w:val="00C5746F"/>
    <w:rsid w:val="00C608D0"/>
    <w:rsid w:val="00C60C18"/>
    <w:rsid w:val="00C60C50"/>
    <w:rsid w:val="00C612EA"/>
    <w:rsid w:val="00C61527"/>
    <w:rsid w:val="00C62D60"/>
    <w:rsid w:val="00C63BE2"/>
    <w:rsid w:val="00C64268"/>
    <w:rsid w:val="00C66F49"/>
    <w:rsid w:val="00C70BDC"/>
    <w:rsid w:val="00C71151"/>
    <w:rsid w:val="00C72697"/>
    <w:rsid w:val="00C72EBB"/>
    <w:rsid w:val="00C73386"/>
    <w:rsid w:val="00C73C37"/>
    <w:rsid w:val="00C742EA"/>
    <w:rsid w:val="00C757E9"/>
    <w:rsid w:val="00C768F0"/>
    <w:rsid w:val="00C77183"/>
    <w:rsid w:val="00C7724B"/>
    <w:rsid w:val="00C77581"/>
    <w:rsid w:val="00C77901"/>
    <w:rsid w:val="00C77973"/>
    <w:rsid w:val="00C77DBB"/>
    <w:rsid w:val="00C804D1"/>
    <w:rsid w:val="00C8146E"/>
    <w:rsid w:val="00C82D07"/>
    <w:rsid w:val="00C834ED"/>
    <w:rsid w:val="00C83C53"/>
    <w:rsid w:val="00C849CF"/>
    <w:rsid w:val="00C853D5"/>
    <w:rsid w:val="00C8620B"/>
    <w:rsid w:val="00C863FD"/>
    <w:rsid w:val="00C86B3B"/>
    <w:rsid w:val="00C87A33"/>
    <w:rsid w:val="00C87B2D"/>
    <w:rsid w:val="00C90449"/>
    <w:rsid w:val="00C9099C"/>
    <w:rsid w:val="00C92690"/>
    <w:rsid w:val="00C94117"/>
    <w:rsid w:val="00C94D41"/>
    <w:rsid w:val="00C94F1A"/>
    <w:rsid w:val="00C95158"/>
    <w:rsid w:val="00C9560F"/>
    <w:rsid w:val="00C95D6E"/>
    <w:rsid w:val="00C96992"/>
    <w:rsid w:val="00CA097E"/>
    <w:rsid w:val="00CA1351"/>
    <w:rsid w:val="00CA239F"/>
    <w:rsid w:val="00CA28E4"/>
    <w:rsid w:val="00CA472F"/>
    <w:rsid w:val="00CA5FAA"/>
    <w:rsid w:val="00CA674B"/>
    <w:rsid w:val="00CA676A"/>
    <w:rsid w:val="00CB15A4"/>
    <w:rsid w:val="00CB1804"/>
    <w:rsid w:val="00CB1B11"/>
    <w:rsid w:val="00CB2DAE"/>
    <w:rsid w:val="00CB3830"/>
    <w:rsid w:val="00CB45C9"/>
    <w:rsid w:val="00CB4FF5"/>
    <w:rsid w:val="00CB5F29"/>
    <w:rsid w:val="00CB66E1"/>
    <w:rsid w:val="00CB7726"/>
    <w:rsid w:val="00CC0153"/>
    <w:rsid w:val="00CC060C"/>
    <w:rsid w:val="00CC0EA0"/>
    <w:rsid w:val="00CC119A"/>
    <w:rsid w:val="00CC194D"/>
    <w:rsid w:val="00CC28F6"/>
    <w:rsid w:val="00CC297C"/>
    <w:rsid w:val="00CC3008"/>
    <w:rsid w:val="00CC32F7"/>
    <w:rsid w:val="00CC3828"/>
    <w:rsid w:val="00CC3E61"/>
    <w:rsid w:val="00CC4019"/>
    <w:rsid w:val="00CC4A97"/>
    <w:rsid w:val="00CC4EC3"/>
    <w:rsid w:val="00CC4EF9"/>
    <w:rsid w:val="00CC532E"/>
    <w:rsid w:val="00CC5B33"/>
    <w:rsid w:val="00CC5E66"/>
    <w:rsid w:val="00CC6851"/>
    <w:rsid w:val="00CC6BC1"/>
    <w:rsid w:val="00CC7245"/>
    <w:rsid w:val="00CC747B"/>
    <w:rsid w:val="00CC7718"/>
    <w:rsid w:val="00CC7B58"/>
    <w:rsid w:val="00CC7CF9"/>
    <w:rsid w:val="00CD0FA4"/>
    <w:rsid w:val="00CD17B7"/>
    <w:rsid w:val="00CD1BDE"/>
    <w:rsid w:val="00CD2BEB"/>
    <w:rsid w:val="00CD34C9"/>
    <w:rsid w:val="00CD3D28"/>
    <w:rsid w:val="00CD41FB"/>
    <w:rsid w:val="00CD5768"/>
    <w:rsid w:val="00CD600B"/>
    <w:rsid w:val="00CD6514"/>
    <w:rsid w:val="00CD677E"/>
    <w:rsid w:val="00CD69B3"/>
    <w:rsid w:val="00CD6BD1"/>
    <w:rsid w:val="00CD7417"/>
    <w:rsid w:val="00CE035D"/>
    <w:rsid w:val="00CE06AC"/>
    <w:rsid w:val="00CE095F"/>
    <w:rsid w:val="00CE0D58"/>
    <w:rsid w:val="00CE0D9A"/>
    <w:rsid w:val="00CE0DFF"/>
    <w:rsid w:val="00CE13BE"/>
    <w:rsid w:val="00CE1DE4"/>
    <w:rsid w:val="00CE347A"/>
    <w:rsid w:val="00CE37A0"/>
    <w:rsid w:val="00CE4883"/>
    <w:rsid w:val="00CE4EB3"/>
    <w:rsid w:val="00CE508A"/>
    <w:rsid w:val="00CE5250"/>
    <w:rsid w:val="00CE64AE"/>
    <w:rsid w:val="00CE65A0"/>
    <w:rsid w:val="00CE719D"/>
    <w:rsid w:val="00CE7337"/>
    <w:rsid w:val="00CE7C6A"/>
    <w:rsid w:val="00CF0388"/>
    <w:rsid w:val="00CF053D"/>
    <w:rsid w:val="00CF1557"/>
    <w:rsid w:val="00CF1B00"/>
    <w:rsid w:val="00CF2838"/>
    <w:rsid w:val="00CF28A8"/>
    <w:rsid w:val="00CF39A7"/>
    <w:rsid w:val="00CF3F2B"/>
    <w:rsid w:val="00CF4E1F"/>
    <w:rsid w:val="00CF5C26"/>
    <w:rsid w:val="00CF5C3C"/>
    <w:rsid w:val="00CF5E35"/>
    <w:rsid w:val="00CF64DB"/>
    <w:rsid w:val="00CF6AF6"/>
    <w:rsid w:val="00CF7730"/>
    <w:rsid w:val="00CF7A72"/>
    <w:rsid w:val="00D01039"/>
    <w:rsid w:val="00D011F7"/>
    <w:rsid w:val="00D02012"/>
    <w:rsid w:val="00D02BA6"/>
    <w:rsid w:val="00D0411A"/>
    <w:rsid w:val="00D06942"/>
    <w:rsid w:val="00D070D8"/>
    <w:rsid w:val="00D07119"/>
    <w:rsid w:val="00D07171"/>
    <w:rsid w:val="00D07BF5"/>
    <w:rsid w:val="00D07EC8"/>
    <w:rsid w:val="00D1053A"/>
    <w:rsid w:val="00D11975"/>
    <w:rsid w:val="00D11FA8"/>
    <w:rsid w:val="00D125E3"/>
    <w:rsid w:val="00D12B25"/>
    <w:rsid w:val="00D14A0E"/>
    <w:rsid w:val="00D1569F"/>
    <w:rsid w:val="00D1632E"/>
    <w:rsid w:val="00D16B18"/>
    <w:rsid w:val="00D17C6F"/>
    <w:rsid w:val="00D2058C"/>
    <w:rsid w:val="00D21E76"/>
    <w:rsid w:val="00D223D6"/>
    <w:rsid w:val="00D226DD"/>
    <w:rsid w:val="00D23987"/>
    <w:rsid w:val="00D23E5F"/>
    <w:rsid w:val="00D243D3"/>
    <w:rsid w:val="00D24535"/>
    <w:rsid w:val="00D2488F"/>
    <w:rsid w:val="00D24CCD"/>
    <w:rsid w:val="00D2598D"/>
    <w:rsid w:val="00D25A07"/>
    <w:rsid w:val="00D260DB"/>
    <w:rsid w:val="00D26E35"/>
    <w:rsid w:val="00D303DA"/>
    <w:rsid w:val="00D3074F"/>
    <w:rsid w:val="00D3093B"/>
    <w:rsid w:val="00D30A84"/>
    <w:rsid w:val="00D30AEF"/>
    <w:rsid w:val="00D30B91"/>
    <w:rsid w:val="00D31B3D"/>
    <w:rsid w:val="00D31E0D"/>
    <w:rsid w:val="00D3298E"/>
    <w:rsid w:val="00D33195"/>
    <w:rsid w:val="00D34048"/>
    <w:rsid w:val="00D3414B"/>
    <w:rsid w:val="00D3491E"/>
    <w:rsid w:val="00D34C9C"/>
    <w:rsid w:val="00D34ECD"/>
    <w:rsid w:val="00D3536D"/>
    <w:rsid w:val="00D35373"/>
    <w:rsid w:val="00D35DD5"/>
    <w:rsid w:val="00D36404"/>
    <w:rsid w:val="00D365D8"/>
    <w:rsid w:val="00D369E4"/>
    <w:rsid w:val="00D36A5D"/>
    <w:rsid w:val="00D37A36"/>
    <w:rsid w:val="00D40A39"/>
    <w:rsid w:val="00D40F59"/>
    <w:rsid w:val="00D411A9"/>
    <w:rsid w:val="00D42118"/>
    <w:rsid w:val="00D4213B"/>
    <w:rsid w:val="00D42666"/>
    <w:rsid w:val="00D42E4B"/>
    <w:rsid w:val="00D430F4"/>
    <w:rsid w:val="00D45C10"/>
    <w:rsid w:val="00D45F8F"/>
    <w:rsid w:val="00D46516"/>
    <w:rsid w:val="00D467D1"/>
    <w:rsid w:val="00D476FA"/>
    <w:rsid w:val="00D520CF"/>
    <w:rsid w:val="00D521BA"/>
    <w:rsid w:val="00D526B7"/>
    <w:rsid w:val="00D529AC"/>
    <w:rsid w:val="00D54878"/>
    <w:rsid w:val="00D5562E"/>
    <w:rsid w:val="00D5711C"/>
    <w:rsid w:val="00D572A9"/>
    <w:rsid w:val="00D57856"/>
    <w:rsid w:val="00D57AEE"/>
    <w:rsid w:val="00D60450"/>
    <w:rsid w:val="00D60F51"/>
    <w:rsid w:val="00D62AA6"/>
    <w:rsid w:val="00D63042"/>
    <w:rsid w:val="00D65229"/>
    <w:rsid w:val="00D657AE"/>
    <w:rsid w:val="00D65CC1"/>
    <w:rsid w:val="00D661FD"/>
    <w:rsid w:val="00D704B0"/>
    <w:rsid w:val="00D7183A"/>
    <w:rsid w:val="00D71F00"/>
    <w:rsid w:val="00D72556"/>
    <w:rsid w:val="00D72B91"/>
    <w:rsid w:val="00D73322"/>
    <w:rsid w:val="00D746D9"/>
    <w:rsid w:val="00D74D5B"/>
    <w:rsid w:val="00D755A6"/>
    <w:rsid w:val="00D756A2"/>
    <w:rsid w:val="00D757D4"/>
    <w:rsid w:val="00D75B19"/>
    <w:rsid w:val="00D76855"/>
    <w:rsid w:val="00D8120A"/>
    <w:rsid w:val="00D81BFB"/>
    <w:rsid w:val="00D82432"/>
    <w:rsid w:val="00D828D7"/>
    <w:rsid w:val="00D83586"/>
    <w:rsid w:val="00D837EA"/>
    <w:rsid w:val="00D842E1"/>
    <w:rsid w:val="00D85444"/>
    <w:rsid w:val="00D86B7D"/>
    <w:rsid w:val="00D86E2E"/>
    <w:rsid w:val="00D8710B"/>
    <w:rsid w:val="00D9170F"/>
    <w:rsid w:val="00D923FC"/>
    <w:rsid w:val="00D93C34"/>
    <w:rsid w:val="00D94DEE"/>
    <w:rsid w:val="00D94FED"/>
    <w:rsid w:val="00D95D1B"/>
    <w:rsid w:val="00D96595"/>
    <w:rsid w:val="00DA1E4D"/>
    <w:rsid w:val="00DA2FCE"/>
    <w:rsid w:val="00DA3358"/>
    <w:rsid w:val="00DA41C8"/>
    <w:rsid w:val="00DA435D"/>
    <w:rsid w:val="00DA49C5"/>
    <w:rsid w:val="00DA569E"/>
    <w:rsid w:val="00DA5CB0"/>
    <w:rsid w:val="00DB0167"/>
    <w:rsid w:val="00DB04C7"/>
    <w:rsid w:val="00DB0C99"/>
    <w:rsid w:val="00DB0EAA"/>
    <w:rsid w:val="00DB10FD"/>
    <w:rsid w:val="00DB1309"/>
    <w:rsid w:val="00DB239D"/>
    <w:rsid w:val="00DB2439"/>
    <w:rsid w:val="00DB4167"/>
    <w:rsid w:val="00DB58B7"/>
    <w:rsid w:val="00DB5927"/>
    <w:rsid w:val="00DB5A28"/>
    <w:rsid w:val="00DB6176"/>
    <w:rsid w:val="00DB6533"/>
    <w:rsid w:val="00DB79AA"/>
    <w:rsid w:val="00DB7B09"/>
    <w:rsid w:val="00DB7D6A"/>
    <w:rsid w:val="00DC061D"/>
    <w:rsid w:val="00DC21A3"/>
    <w:rsid w:val="00DC2334"/>
    <w:rsid w:val="00DC268A"/>
    <w:rsid w:val="00DC31B0"/>
    <w:rsid w:val="00DC38BA"/>
    <w:rsid w:val="00DC48B5"/>
    <w:rsid w:val="00DC4B21"/>
    <w:rsid w:val="00DC5BA9"/>
    <w:rsid w:val="00DC5F9A"/>
    <w:rsid w:val="00DC6402"/>
    <w:rsid w:val="00DC7746"/>
    <w:rsid w:val="00DC7B3E"/>
    <w:rsid w:val="00DD13AC"/>
    <w:rsid w:val="00DD16D7"/>
    <w:rsid w:val="00DD1F43"/>
    <w:rsid w:val="00DD1F7F"/>
    <w:rsid w:val="00DD217D"/>
    <w:rsid w:val="00DD2CDA"/>
    <w:rsid w:val="00DD3DD3"/>
    <w:rsid w:val="00DD4146"/>
    <w:rsid w:val="00DD434D"/>
    <w:rsid w:val="00DD57C6"/>
    <w:rsid w:val="00DD666F"/>
    <w:rsid w:val="00DD7232"/>
    <w:rsid w:val="00DD7E63"/>
    <w:rsid w:val="00DE00AC"/>
    <w:rsid w:val="00DE02A4"/>
    <w:rsid w:val="00DE045F"/>
    <w:rsid w:val="00DE07EE"/>
    <w:rsid w:val="00DE0BA6"/>
    <w:rsid w:val="00DE308E"/>
    <w:rsid w:val="00DE33EC"/>
    <w:rsid w:val="00DE3987"/>
    <w:rsid w:val="00DE3BC5"/>
    <w:rsid w:val="00DE6404"/>
    <w:rsid w:val="00DE7635"/>
    <w:rsid w:val="00DE7666"/>
    <w:rsid w:val="00DE770E"/>
    <w:rsid w:val="00DE7767"/>
    <w:rsid w:val="00DE79ED"/>
    <w:rsid w:val="00DF0E82"/>
    <w:rsid w:val="00DF135D"/>
    <w:rsid w:val="00DF25F8"/>
    <w:rsid w:val="00DF2881"/>
    <w:rsid w:val="00DF288F"/>
    <w:rsid w:val="00DF3A09"/>
    <w:rsid w:val="00DF6042"/>
    <w:rsid w:val="00DF62FF"/>
    <w:rsid w:val="00DF7CA7"/>
    <w:rsid w:val="00E00730"/>
    <w:rsid w:val="00E01465"/>
    <w:rsid w:val="00E018EE"/>
    <w:rsid w:val="00E01D0E"/>
    <w:rsid w:val="00E02603"/>
    <w:rsid w:val="00E029BB"/>
    <w:rsid w:val="00E0381E"/>
    <w:rsid w:val="00E03DBA"/>
    <w:rsid w:val="00E048D8"/>
    <w:rsid w:val="00E06F5F"/>
    <w:rsid w:val="00E06F75"/>
    <w:rsid w:val="00E07666"/>
    <w:rsid w:val="00E11364"/>
    <w:rsid w:val="00E114AC"/>
    <w:rsid w:val="00E1275F"/>
    <w:rsid w:val="00E12A2D"/>
    <w:rsid w:val="00E12CDB"/>
    <w:rsid w:val="00E12D1A"/>
    <w:rsid w:val="00E13FDB"/>
    <w:rsid w:val="00E1414A"/>
    <w:rsid w:val="00E14594"/>
    <w:rsid w:val="00E146D8"/>
    <w:rsid w:val="00E147DE"/>
    <w:rsid w:val="00E14866"/>
    <w:rsid w:val="00E16A29"/>
    <w:rsid w:val="00E21BA5"/>
    <w:rsid w:val="00E22AC0"/>
    <w:rsid w:val="00E22E3D"/>
    <w:rsid w:val="00E24903"/>
    <w:rsid w:val="00E255A4"/>
    <w:rsid w:val="00E256D0"/>
    <w:rsid w:val="00E25CBA"/>
    <w:rsid w:val="00E26490"/>
    <w:rsid w:val="00E268BD"/>
    <w:rsid w:val="00E27B1D"/>
    <w:rsid w:val="00E30066"/>
    <w:rsid w:val="00E308CB"/>
    <w:rsid w:val="00E30A4E"/>
    <w:rsid w:val="00E30AC9"/>
    <w:rsid w:val="00E30B62"/>
    <w:rsid w:val="00E32279"/>
    <w:rsid w:val="00E338E1"/>
    <w:rsid w:val="00E341E0"/>
    <w:rsid w:val="00E3461D"/>
    <w:rsid w:val="00E358D3"/>
    <w:rsid w:val="00E359F1"/>
    <w:rsid w:val="00E36C1A"/>
    <w:rsid w:val="00E37359"/>
    <w:rsid w:val="00E37742"/>
    <w:rsid w:val="00E37868"/>
    <w:rsid w:val="00E37D60"/>
    <w:rsid w:val="00E37E63"/>
    <w:rsid w:val="00E40D87"/>
    <w:rsid w:val="00E41067"/>
    <w:rsid w:val="00E418E9"/>
    <w:rsid w:val="00E41952"/>
    <w:rsid w:val="00E431A5"/>
    <w:rsid w:val="00E43C40"/>
    <w:rsid w:val="00E442C8"/>
    <w:rsid w:val="00E460E3"/>
    <w:rsid w:val="00E4691E"/>
    <w:rsid w:val="00E46983"/>
    <w:rsid w:val="00E473FD"/>
    <w:rsid w:val="00E477CD"/>
    <w:rsid w:val="00E51E90"/>
    <w:rsid w:val="00E52A01"/>
    <w:rsid w:val="00E52CB9"/>
    <w:rsid w:val="00E52EA5"/>
    <w:rsid w:val="00E5587F"/>
    <w:rsid w:val="00E55AA5"/>
    <w:rsid w:val="00E56316"/>
    <w:rsid w:val="00E6166A"/>
    <w:rsid w:val="00E6204A"/>
    <w:rsid w:val="00E620B1"/>
    <w:rsid w:val="00E62650"/>
    <w:rsid w:val="00E62669"/>
    <w:rsid w:val="00E63704"/>
    <w:rsid w:val="00E63936"/>
    <w:rsid w:val="00E639A9"/>
    <w:rsid w:val="00E63D46"/>
    <w:rsid w:val="00E64F34"/>
    <w:rsid w:val="00E65A24"/>
    <w:rsid w:val="00E6635E"/>
    <w:rsid w:val="00E663D1"/>
    <w:rsid w:val="00E666D3"/>
    <w:rsid w:val="00E67670"/>
    <w:rsid w:val="00E700C2"/>
    <w:rsid w:val="00E702DC"/>
    <w:rsid w:val="00E702E4"/>
    <w:rsid w:val="00E70D6B"/>
    <w:rsid w:val="00E713E6"/>
    <w:rsid w:val="00E715BB"/>
    <w:rsid w:val="00E71F40"/>
    <w:rsid w:val="00E72D22"/>
    <w:rsid w:val="00E7346F"/>
    <w:rsid w:val="00E7377B"/>
    <w:rsid w:val="00E7415C"/>
    <w:rsid w:val="00E74FBE"/>
    <w:rsid w:val="00E75129"/>
    <w:rsid w:val="00E75446"/>
    <w:rsid w:val="00E758F6"/>
    <w:rsid w:val="00E7627B"/>
    <w:rsid w:val="00E76E4B"/>
    <w:rsid w:val="00E7703C"/>
    <w:rsid w:val="00E772C8"/>
    <w:rsid w:val="00E77555"/>
    <w:rsid w:val="00E77B3A"/>
    <w:rsid w:val="00E80328"/>
    <w:rsid w:val="00E8051B"/>
    <w:rsid w:val="00E80F18"/>
    <w:rsid w:val="00E8172B"/>
    <w:rsid w:val="00E81D7D"/>
    <w:rsid w:val="00E81F50"/>
    <w:rsid w:val="00E82288"/>
    <w:rsid w:val="00E830E6"/>
    <w:rsid w:val="00E83CF3"/>
    <w:rsid w:val="00E84113"/>
    <w:rsid w:val="00E84E94"/>
    <w:rsid w:val="00E84F7F"/>
    <w:rsid w:val="00E853F0"/>
    <w:rsid w:val="00E861B9"/>
    <w:rsid w:val="00E862C1"/>
    <w:rsid w:val="00E86A5D"/>
    <w:rsid w:val="00E86BDC"/>
    <w:rsid w:val="00E86C9A"/>
    <w:rsid w:val="00E90731"/>
    <w:rsid w:val="00E92110"/>
    <w:rsid w:val="00E9250D"/>
    <w:rsid w:val="00E92A32"/>
    <w:rsid w:val="00E92B0B"/>
    <w:rsid w:val="00E94516"/>
    <w:rsid w:val="00E9508E"/>
    <w:rsid w:val="00E9585A"/>
    <w:rsid w:val="00E960A0"/>
    <w:rsid w:val="00E96F37"/>
    <w:rsid w:val="00E971B3"/>
    <w:rsid w:val="00EA01AC"/>
    <w:rsid w:val="00EA094A"/>
    <w:rsid w:val="00EA1393"/>
    <w:rsid w:val="00EA1695"/>
    <w:rsid w:val="00EA1C02"/>
    <w:rsid w:val="00EA1E56"/>
    <w:rsid w:val="00EA355D"/>
    <w:rsid w:val="00EA398C"/>
    <w:rsid w:val="00EA3ADB"/>
    <w:rsid w:val="00EA5263"/>
    <w:rsid w:val="00EA6E87"/>
    <w:rsid w:val="00EA7CAF"/>
    <w:rsid w:val="00EB0C62"/>
    <w:rsid w:val="00EB18BE"/>
    <w:rsid w:val="00EB1B7F"/>
    <w:rsid w:val="00EB2524"/>
    <w:rsid w:val="00EB27C1"/>
    <w:rsid w:val="00EB2B4D"/>
    <w:rsid w:val="00EB3216"/>
    <w:rsid w:val="00EB33B1"/>
    <w:rsid w:val="00EB389F"/>
    <w:rsid w:val="00EB6614"/>
    <w:rsid w:val="00EB7AD6"/>
    <w:rsid w:val="00EC0A75"/>
    <w:rsid w:val="00EC11B6"/>
    <w:rsid w:val="00EC139D"/>
    <w:rsid w:val="00EC28CE"/>
    <w:rsid w:val="00EC3437"/>
    <w:rsid w:val="00EC4732"/>
    <w:rsid w:val="00EC490C"/>
    <w:rsid w:val="00EC54DE"/>
    <w:rsid w:val="00EC638F"/>
    <w:rsid w:val="00EC67F3"/>
    <w:rsid w:val="00EC693D"/>
    <w:rsid w:val="00EC6C9F"/>
    <w:rsid w:val="00EC6FA8"/>
    <w:rsid w:val="00EC7364"/>
    <w:rsid w:val="00EC74BA"/>
    <w:rsid w:val="00EC79F7"/>
    <w:rsid w:val="00EC7A99"/>
    <w:rsid w:val="00EC7DE8"/>
    <w:rsid w:val="00EC7FFC"/>
    <w:rsid w:val="00ED06B9"/>
    <w:rsid w:val="00ED0929"/>
    <w:rsid w:val="00ED291F"/>
    <w:rsid w:val="00ED2C1F"/>
    <w:rsid w:val="00ED4268"/>
    <w:rsid w:val="00ED4BCF"/>
    <w:rsid w:val="00ED7298"/>
    <w:rsid w:val="00EE1EA3"/>
    <w:rsid w:val="00EE2081"/>
    <w:rsid w:val="00EE4B35"/>
    <w:rsid w:val="00EE56B0"/>
    <w:rsid w:val="00EE65DC"/>
    <w:rsid w:val="00EE7608"/>
    <w:rsid w:val="00EE76FF"/>
    <w:rsid w:val="00EE7975"/>
    <w:rsid w:val="00EF3379"/>
    <w:rsid w:val="00EF3BD9"/>
    <w:rsid w:val="00EF64DA"/>
    <w:rsid w:val="00EF69EF"/>
    <w:rsid w:val="00EF6F62"/>
    <w:rsid w:val="00EF7279"/>
    <w:rsid w:val="00EF7981"/>
    <w:rsid w:val="00EF7ADE"/>
    <w:rsid w:val="00EF7E08"/>
    <w:rsid w:val="00F01289"/>
    <w:rsid w:val="00F01442"/>
    <w:rsid w:val="00F01CCA"/>
    <w:rsid w:val="00F0424D"/>
    <w:rsid w:val="00F04DFB"/>
    <w:rsid w:val="00F055A5"/>
    <w:rsid w:val="00F064C5"/>
    <w:rsid w:val="00F07CE8"/>
    <w:rsid w:val="00F1046E"/>
    <w:rsid w:val="00F10D14"/>
    <w:rsid w:val="00F11351"/>
    <w:rsid w:val="00F113E0"/>
    <w:rsid w:val="00F11438"/>
    <w:rsid w:val="00F11751"/>
    <w:rsid w:val="00F11C41"/>
    <w:rsid w:val="00F11EF2"/>
    <w:rsid w:val="00F13244"/>
    <w:rsid w:val="00F14A75"/>
    <w:rsid w:val="00F14BD1"/>
    <w:rsid w:val="00F15F4C"/>
    <w:rsid w:val="00F161FD"/>
    <w:rsid w:val="00F16C76"/>
    <w:rsid w:val="00F17CCE"/>
    <w:rsid w:val="00F17F15"/>
    <w:rsid w:val="00F201EB"/>
    <w:rsid w:val="00F20E1E"/>
    <w:rsid w:val="00F212D3"/>
    <w:rsid w:val="00F2177B"/>
    <w:rsid w:val="00F22F54"/>
    <w:rsid w:val="00F23C3B"/>
    <w:rsid w:val="00F24223"/>
    <w:rsid w:val="00F2422D"/>
    <w:rsid w:val="00F24425"/>
    <w:rsid w:val="00F24811"/>
    <w:rsid w:val="00F2496D"/>
    <w:rsid w:val="00F257AE"/>
    <w:rsid w:val="00F259D8"/>
    <w:rsid w:val="00F26A40"/>
    <w:rsid w:val="00F26CFA"/>
    <w:rsid w:val="00F26E1B"/>
    <w:rsid w:val="00F26F13"/>
    <w:rsid w:val="00F3001B"/>
    <w:rsid w:val="00F313CB"/>
    <w:rsid w:val="00F318CE"/>
    <w:rsid w:val="00F3325C"/>
    <w:rsid w:val="00F34063"/>
    <w:rsid w:val="00F341D4"/>
    <w:rsid w:val="00F34920"/>
    <w:rsid w:val="00F34A51"/>
    <w:rsid w:val="00F360FD"/>
    <w:rsid w:val="00F364CE"/>
    <w:rsid w:val="00F370C9"/>
    <w:rsid w:val="00F41C54"/>
    <w:rsid w:val="00F420B3"/>
    <w:rsid w:val="00F42450"/>
    <w:rsid w:val="00F433A9"/>
    <w:rsid w:val="00F43C57"/>
    <w:rsid w:val="00F44068"/>
    <w:rsid w:val="00F442EE"/>
    <w:rsid w:val="00F44EDB"/>
    <w:rsid w:val="00F455BF"/>
    <w:rsid w:val="00F47682"/>
    <w:rsid w:val="00F47A93"/>
    <w:rsid w:val="00F47D6C"/>
    <w:rsid w:val="00F50144"/>
    <w:rsid w:val="00F50774"/>
    <w:rsid w:val="00F51296"/>
    <w:rsid w:val="00F518DC"/>
    <w:rsid w:val="00F5216F"/>
    <w:rsid w:val="00F52237"/>
    <w:rsid w:val="00F52EDB"/>
    <w:rsid w:val="00F534E1"/>
    <w:rsid w:val="00F537E2"/>
    <w:rsid w:val="00F542DC"/>
    <w:rsid w:val="00F54FE5"/>
    <w:rsid w:val="00F5537C"/>
    <w:rsid w:val="00F55DDA"/>
    <w:rsid w:val="00F56B6C"/>
    <w:rsid w:val="00F577E9"/>
    <w:rsid w:val="00F60D4A"/>
    <w:rsid w:val="00F610AB"/>
    <w:rsid w:val="00F61B5F"/>
    <w:rsid w:val="00F624D2"/>
    <w:rsid w:val="00F6250B"/>
    <w:rsid w:val="00F63EBF"/>
    <w:rsid w:val="00F64627"/>
    <w:rsid w:val="00F65C44"/>
    <w:rsid w:val="00F668AE"/>
    <w:rsid w:val="00F669CF"/>
    <w:rsid w:val="00F67DE5"/>
    <w:rsid w:val="00F72335"/>
    <w:rsid w:val="00F73A79"/>
    <w:rsid w:val="00F73D51"/>
    <w:rsid w:val="00F743D2"/>
    <w:rsid w:val="00F7456B"/>
    <w:rsid w:val="00F74A83"/>
    <w:rsid w:val="00F750DB"/>
    <w:rsid w:val="00F751F9"/>
    <w:rsid w:val="00F75D57"/>
    <w:rsid w:val="00F76172"/>
    <w:rsid w:val="00F778A6"/>
    <w:rsid w:val="00F810B1"/>
    <w:rsid w:val="00F824D2"/>
    <w:rsid w:val="00F8305C"/>
    <w:rsid w:val="00F90E55"/>
    <w:rsid w:val="00F9119A"/>
    <w:rsid w:val="00F9147A"/>
    <w:rsid w:val="00F9324E"/>
    <w:rsid w:val="00F93654"/>
    <w:rsid w:val="00F95C1A"/>
    <w:rsid w:val="00F95C86"/>
    <w:rsid w:val="00F96C04"/>
    <w:rsid w:val="00FA03AC"/>
    <w:rsid w:val="00FA0D8B"/>
    <w:rsid w:val="00FA17E8"/>
    <w:rsid w:val="00FA180E"/>
    <w:rsid w:val="00FA1912"/>
    <w:rsid w:val="00FA2199"/>
    <w:rsid w:val="00FA5291"/>
    <w:rsid w:val="00FA53D3"/>
    <w:rsid w:val="00FA5C0C"/>
    <w:rsid w:val="00FA6871"/>
    <w:rsid w:val="00FA68FB"/>
    <w:rsid w:val="00FA6BD5"/>
    <w:rsid w:val="00FA7104"/>
    <w:rsid w:val="00FA73FB"/>
    <w:rsid w:val="00FA7A79"/>
    <w:rsid w:val="00FA7B5D"/>
    <w:rsid w:val="00FA7F99"/>
    <w:rsid w:val="00FA7FD3"/>
    <w:rsid w:val="00FB012B"/>
    <w:rsid w:val="00FB0D33"/>
    <w:rsid w:val="00FB1060"/>
    <w:rsid w:val="00FB14A4"/>
    <w:rsid w:val="00FB1BB3"/>
    <w:rsid w:val="00FB2B74"/>
    <w:rsid w:val="00FB2E85"/>
    <w:rsid w:val="00FB316D"/>
    <w:rsid w:val="00FB5312"/>
    <w:rsid w:val="00FB551B"/>
    <w:rsid w:val="00FB634B"/>
    <w:rsid w:val="00FB6DF9"/>
    <w:rsid w:val="00FB703B"/>
    <w:rsid w:val="00FB73B0"/>
    <w:rsid w:val="00FB7434"/>
    <w:rsid w:val="00FB7863"/>
    <w:rsid w:val="00FB7A99"/>
    <w:rsid w:val="00FC0C74"/>
    <w:rsid w:val="00FC0F5D"/>
    <w:rsid w:val="00FC1ACE"/>
    <w:rsid w:val="00FC2A95"/>
    <w:rsid w:val="00FC3C89"/>
    <w:rsid w:val="00FC3F5C"/>
    <w:rsid w:val="00FC465B"/>
    <w:rsid w:val="00FC4741"/>
    <w:rsid w:val="00FC4E72"/>
    <w:rsid w:val="00FC5BCE"/>
    <w:rsid w:val="00FC5F5C"/>
    <w:rsid w:val="00FC6B1F"/>
    <w:rsid w:val="00FC7755"/>
    <w:rsid w:val="00FC7E18"/>
    <w:rsid w:val="00FD038A"/>
    <w:rsid w:val="00FD0807"/>
    <w:rsid w:val="00FD0DA8"/>
    <w:rsid w:val="00FD0DD6"/>
    <w:rsid w:val="00FD15BB"/>
    <w:rsid w:val="00FD1D46"/>
    <w:rsid w:val="00FD20FA"/>
    <w:rsid w:val="00FD30F4"/>
    <w:rsid w:val="00FD3468"/>
    <w:rsid w:val="00FD3C2C"/>
    <w:rsid w:val="00FD3DF0"/>
    <w:rsid w:val="00FD467F"/>
    <w:rsid w:val="00FD4E36"/>
    <w:rsid w:val="00FD51BD"/>
    <w:rsid w:val="00FD5363"/>
    <w:rsid w:val="00FD56F5"/>
    <w:rsid w:val="00FD5D75"/>
    <w:rsid w:val="00FD6D3D"/>
    <w:rsid w:val="00FD740D"/>
    <w:rsid w:val="00FD7D9A"/>
    <w:rsid w:val="00FE0B7F"/>
    <w:rsid w:val="00FE0C57"/>
    <w:rsid w:val="00FE1266"/>
    <w:rsid w:val="00FE13C8"/>
    <w:rsid w:val="00FE145D"/>
    <w:rsid w:val="00FE1EAD"/>
    <w:rsid w:val="00FE2532"/>
    <w:rsid w:val="00FE3410"/>
    <w:rsid w:val="00FE3D4E"/>
    <w:rsid w:val="00FE43BF"/>
    <w:rsid w:val="00FE6E7A"/>
    <w:rsid w:val="00FE702C"/>
    <w:rsid w:val="00FE7A12"/>
    <w:rsid w:val="00FF0171"/>
    <w:rsid w:val="00FF1780"/>
    <w:rsid w:val="00FF203C"/>
    <w:rsid w:val="00FF288E"/>
    <w:rsid w:val="00FF2A7B"/>
    <w:rsid w:val="00FF2D6B"/>
    <w:rsid w:val="00FF38E7"/>
    <w:rsid w:val="00FF3F0A"/>
    <w:rsid w:val="00FF4241"/>
    <w:rsid w:val="00FF4ADD"/>
    <w:rsid w:val="00FF55AB"/>
    <w:rsid w:val="00FF5971"/>
    <w:rsid w:val="00FF5FC0"/>
    <w:rsid w:val="00FF6102"/>
    <w:rsid w:val="00FF683F"/>
    <w:rsid w:val="00FF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41693F"/>
  <w15:docId w15:val="{9BC553C3-F4D3-4F1B-BAAF-DF4358026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qFormat/>
    <w:rsid w:val="008051E5"/>
    <w:rPr>
      <w:sz w:val="24"/>
      <w:szCs w:val="24"/>
    </w:rPr>
  </w:style>
  <w:style w:type="paragraph" w:styleId="Nadpis1">
    <w:name w:val="heading 1"/>
    <w:basedOn w:val="Normln"/>
    <w:next w:val="Normln"/>
    <w:qFormat/>
    <w:rsid w:val="00774AF8"/>
    <w:pPr>
      <w:keepNext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rsid w:val="008051E5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rsid w:val="008051E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qFormat/>
    <w:rsid w:val="00540137"/>
    <w:pPr>
      <w:keepNext/>
      <w:numPr>
        <w:ilvl w:val="3"/>
        <w:numId w:val="1"/>
      </w:numPr>
      <w:spacing w:before="240" w:after="60"/>
      <w:ind w:left="862" w:hanging="862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qFormat/>
    <w:rsid w:val="008051E5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8051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8051E5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8051E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8051E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8051E5"/>
    <w:pPr>
      <w:tabs>
        <w:tab w:val="center" w:pos="4536"/>
        <w:tab w:val="right" w:pos="9072"/>
      </w:tabs>
    </w:pPr>
    <w:rPr>
      <w:szCs w:val="20"/>
    </w:rPr>
  </w:style>
  <w:style w:type="paragraph" w:styleId="Zkladntext">
    <w:name w:val="Body Text"/>
    <w:basedOn w:val="Normln"/>
    <w:rsid w:val="008051E5"/>
    <w:rPr>
      <w:b/>
      <w:i/>
      <w:sz w:val="28"/>
      <w:szCs w:val="20"/>
    </w:rPr>
  </w:style>
  <w:style w:type="character" w:customStyle="1" w:styleId="ZkladntextChar">
    <w:name w:val="Základní text Char"/>
    <w:basedOn w:val="Standardnpsmoodstavce"/>
    <w:rsid w:val="008051E5"/>
    <w:rPr>
      <w:b/>
      <w:i/>
      <w:sz w:val="28"/>
      <w:lang w:val="cs-CZ" w:eastAsia="cs-CZ" w:bidi="ar-SA"/>
    </w:rPr>
  </w:style>
  <w:style w:type="paragraph" w:styleId="Datum">
    <w:name w:val="Date"/>
    <w:basedOn w:val="Normln"/>
    <w:next w:val="Normln"/>
    <w:rsid w:val="008051E5"/>
    <w:rPr>
      <w:szCs w:val="20"/>
    </w:rPr>
  </w:style>
  <w:style w:type="paragraph" w:styleId="Zkladntextodsazen">
    <w:name w:val="Body Text Indent"/>
    <w:basedOn w:val="Normln"/>
    <w:rsid w:val="008051E5"/>
    <w:pPr>
      <w:spacing w:before="120"/>
      <w:ind w:firstLine="454"/>
      <w:jc w:val="both"/>
    </w:pPr>
    <w:rPr>
      <w:szCs w:val="20"/>
    </w:rPr>
  </w:style>
  <w:style w:type="paragraph" w:customStyle="1" w:styleId="xl24">
    <w:name w:val="xl24"/>
    <w:basedOn w:val="Normln"/>
    <w:rsid w:val="008051E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16"/>
      <w:szCs w:val="16"/>
    </w:rPr>
  </w:style>
  <w:style w:type="paragraph" w:customStyle="1" w:styleId="xl25">
    <w:name w:val="xl25"/>
    <w:basedOn w:val="Normln"/>
    <w:rsid w:val="008051E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16"/>
      <w:szCs w:val="16"/>
    </w:rPr>
  </w:style>
  <w:style w:type="paragraph" w:customStyle="1" w:styleId="xl26">
    <w:name w:val="xl26"/>
    <w:basedOn w:val="Normln"/>
    <w:rsid w:val="008051E5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27">
    <w:name w:val="xl27"/>
    <w:basedOn w:val="Normln"/>
    <w:rsid w:val="008051E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28">
    <w:name w:val="xl28"/>
    <w:basedOn w:val="Normln"/>
    <w:rsid w:val="008051E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29">
    <w:name w:val="xl29"/>
    <w:basedOn w:val="Normln"/>
    <w:rsid w:val="008051E5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30">
    <w:name w:val="xl30"/>
    <w:basedOn w:val="Normln"/>
    <w:rsid w:val="008051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31">
    <w:name w:val="xl31"/>
    <w:basedOn w:val="Normln"/>
    <w:rsid w:val="008051E5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32">
    <w:name w:val="xl32"/>
    <w:basedOn w:val="Normln"/>
    <w:rsid w:val="008051E5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33">
    <w:name w:val="xl33"/>
    <w:basedOn w:val="Normln"/>
    <w:rsid w:val="008051E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34">
    <w:name w:val="xl34"/>
    <w:basedOn w:val="Normln"/>
    <w:rsid w:val="008051E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35">
    <w:name w:val="xl35"/>
    <w:basedOn w:val="Normln"/>
    <w:rsid w:val="008051E5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color w:val="FF0000"/>
      <w:sz w:val="18"/>
      <w:szCs w:val="18"/>
    </w:rPr>
  </w:style>
  <w:style w:type="paragraph" w:customStyle="1" w:styleId="xl36">
    <w:name w:val="xl36"/>
    <w:basedOn w:val="Normln"/>
    <w:rsid w:val="008051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color w:val="FF0000"/>
      <w:sz w:val="18"/>
      <w:szCs w:val="18"/>
    </w:rPr>
  </w:style>
  <w:style w:type="paragraph" w:customStyle="1" w:styleId="xl37">
    <w:name w:val="xl37"/>
    <w:basedOn w:val="Normln"/>
    <w:rsid w:val="008051E5"/>
    <w:pPr>
      <w:spacing w:before="100" w:beforeAutospacing="1" w:after="100" w:afterAutospacing="1"/>
    </w:pPr>
    <w:rPr>
      <w:rFonts w:ascii="Arial" w:eastAsia="Arial Unicode MS" w:hAnsi="Arial" w:cs="Arial Unicode MS"/>
      <w:b/>
      <w:bCs/>
      <w:color w:val="FF0000"/>
      <w:sz w:val="18"/>
      <w:szCs w:val="18"/>
    </w:rPr>
  </w:style>
  <w:style w:type="paragraph" w:customStyle="1" w:styleId="xl38">
    <w:name w:val="xl38"/>
    <w:basedOn w:val="Normln"/>
    <w:rsid w:val="008051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color w:val="3366FF"/>
      <w:sz w:val="18"/>
      <w:szCs w:val="18"/>
    </w:rPr>
  </w:style>
  <w:style w:type="paragraph" w:customStyle="1" w:styleId="xl39">
    <w:name w:val="xl39"/>
    <w:basedOn w:val="Normln"/>
    <w:rsid w:val="008051E5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color w:val="FF0000"/>
      <w:sz w:val="18"/>
      <w:szCs w:val="18"/>
    </w:rPr>
  </w:style>
  <w:style w:type="paragraph" w:customStyle="1" w:styleId="xl40">
    <w:name w:val="xl40"/>
    <w:basedOn w:val="Normln"/>
    <w:rsid w:val="008051E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color w:val="3366FF"/>
      <w:sz w:val="18"/>
      <w:szCs w:val="18"/>
    </w:rPr>
  </w:style>
  <w:style w:type="paragraph" w:customStyle="1" w:styleId="xl41">
    <w:name w:val="xl41"/>
    <w:basedOn w:val="Normln"/>
    <w:rsid w:val="008051E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2"/>
      <w:szCs w:val="22"/>
    </w:rPr>
  </w:style>
  <w:style w:type="paragraph" w:customStyle="1" w:styleId="xl42">
    <w:name w:val="xl42"/>
    <w:basedOn w:val="Normln"/>
    <w:rsid w:val="008051E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Normln"/>
    <w:rsid w:val="008051E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4">
    <w:name w:val="xl44"/>
    <w:basedOn w:val="Normln"/>
    <w:rsid w:val="008051E5"/>
    <w:pPr>
      <w:pBdr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5">
    <w:name w:val="xl45"/>
    <w:basedOn w:val="Normln"/>
    <w:rsid w:val="008051E5"/>
    <w:pPr>
      <w:pBdr>
        <w:left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ln"/>
    <w:rsid w:val="008051E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ln"/>
    <w:rsid w:val="008051E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8">
    <w:name w:val="xl48"/>
    <w:basedOn w:val="Normln"/>
    <w:rsid w:val="008051E5"/>
    <w:pPr>
      <w:pBdr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8"/>
      <w:szCs w:val="18"/>
    </w:rPr>
  </w:style>
  <w:style w:type="paragraph" w:customStyle="1" w:styleId="xl49">
    <w:name w:val="xl49"/>
    <w:basedOn w:val="Normln"/>
    <w:rsid w:val="008051E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8"/>
      <w:szCs w:val="18"/>
    </w:rPr>
  </w:style>
  <w:style w:type="paragraph" w:customStyle="1" w:styleId="xl50">
    <w:name w:val="xl50"/>
    <w:basedOn w:val="Normln"/>
    <w:rsid w:val="008051E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sz w:val="18"/>
      <w:szCs w:val="18"/>
    </w:rPr>
  </w:style>
  <w:style w:type="paragraph" w:customStyle="1" w:styleId="font5">
    <w:name w:val="font5"/>
    <w:basedOn w:val="Normln"/>
    <w:rsid w:val="008051E5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font6">
    <w:name w:val="font6"/>
    <w:basedOn w:val="Normln"/>
    <w:rsid w:val="008051E5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1">
    <w:name w:val="xl51"/>
    <w:basedOn w:val="Normln"/>
    <w:rsid w:val="008051E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  <w:color w:val="FF0000"/>
    </w:rPr>
  </w:style>
  <w:style w:type="paragraph" w:styleId="Zkladntext2">
    <w:name w:val="Body Text 2"/>
    <w:basedOn w:val="Normln"/>
    <w:rsid w:val="008051E5"/>
    <w:pPr>
      <w:jc w:val="both"/>
    </w:pPr>
    <w:rPr>
      <w:i/>
      <w:iCs/>
      <w:sz w:val="20"/>
    </w:rPr>
  </w:style>
  <w:style w:type="paragraph" w:styleId="Zkladntextodsazen2">
    <w:name w:val="Body Text Indent 2"/>
    <w:basedOn w:val="Normln"/>
    <w:rsid w:val="008051E5"/>
    <w:pPr>
      <w:widowControl w:val="0"/>
      <w:ind w:left="993" w:hanging="993"/>
    </w:pPr>
    <w:rPr>
      <w:sz w:val="20"/>
      <w:szCs w:val="20"/>
    </w:rPr>
  </w:style>
  <w:style w:type="paragraph" w:styleId="Nzev">
    <w:name w:val="Title"/>
    <w:basedOn w:val="Normln"/>
    <w:qFormat/>
    <w:rsid w:val="008051E5"/>
    <w:pPr>
      <w:autoSpaceDE w:val="0"/>
      <w:autoSpaceDN w:val="0"/>
      <w:adjustRightInd w:val="0"/>
      <w:jc w:val="center"/>
    </w:pPr>
    <w:rPr>
      <w:rFonts w:ascii="Courier New" w:hAnsi="Courier New" w:cs="Courier New"/>
      <w:b/>
      <w:bCs/>
      <w:szCs w:val="20"/>
    </w:rPr>
  </w:style>
  <w:style w:type="paragraph" w:styleId="Zpat">
    <w:name w:val="footer"/>
    <w:basedOn w:val="Normln"/>
    <w:rsid w:val="008051E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051E5"/>
  </w:style>
  <w:style w:type="paragraph" w:styleId="Zkladntext3">
    <w:name w:val="Body Text 3"/>
    <w:basedOn w:val="Normln"/>
    <w:rsid w:val="008051E5"/>
    <w:pPr>
      <w:ind w:right="-284"/>
    </w:pPr>
    <w:rPr>
      <w:sz w:val="22"/>
    </w:rPr>
  </w:style>
  <w:style w:type="paragraph" w:customStyle="1" w:styleId="Mjstyl">
    <w:name w:val="Můj styl"/>
    <w:basedOn w:val="Normln"/>
    <w:rsid w:val="008051E5"/>
    <w:pPr>
      <w:widowControl w:val="0"/>
      <w:ind w:firstLine="567"/>
      <w:jc w:val="both"/>
    </w:pPr>
    <w:rPr>
      <w:color w:val="0000FF"/>
      <w:szCs w:val="20"/>
    </w:rPr>
  </w:style>
  <w:style w:type="paragraph" w:customStyle="1" w:styleId="odstavec">
    <w:name w:val="odstavec"/>
    <w:basedOn w:val="Normln"/>
    <w:rsid w:val="008051E5"/>
    <w:pPr>
      <w:spacing w:before="200"/>
      <w:ind w:firstLine="454"/>
      <w:jc w:val="both"/>
    </w:pPr>
  </w:style>
  <w:style w:type="paragraph" w:styleId="Obsah2">
    <w:name w:val="toc 2"/>
    <w:basedOn w:val="Normln"/>
    <w:next w:val="Normln"/>
    <w:autoRedefine/>
    <w:uiPriority w:val="39"/>
    <w:rsid w:val="008051E5"/>
    <w:pPr>
      <w:ind w:left="240"/>
    </w:pPr>
  </w:style>
  <w:style w:type="paragraph" w:styleId="Obsah1">
    <w:name w:val="toc 1"/>
    <w:basedOn w:val="Normln"/>
    <w:next w:val="Normln"/>
    <w:autoRedefine/>
    <w:uiPriority w:val="39"/>
    <w:rsid w:val="008051E5"/>
    <w:rPr>
      <w:color w:val="FFFFFF"/>
    </w:rPr>
  </w:style>
  <w:style w:type="paragraph" w:styleId="Obsah3">
    <w:name w:val="toc 3"/>
    <w:basedOn w:val="Normln"/>
    <w:next w:val="Normln"/>
    <w:autoRedefine/>
    <w:uiPriority w:val="39"/>
    <w:rsid w:val="008051E5"/>
    <w:pPr>
      <w:ind w:left="480"/>
    </w:pPr>
  </w:style>
  <w:style w:type="paragraph" w:styleId="Obsah4">
    <w:name w:val="toc 4"/>
    <w:basedOn w:val="Normln"/>
    <w:next w:val="Normln"/>
    <w:autoRedefine/>
    <w:uiPriority w:val="39"/>
    <w:rsid w:val="008051E5"/>
    <w:pPr>
      <w:ind w:left="720"/>
    </w:pPr>
  </w:style>
  <w:style w:type="paragraph" w:styleId="Obsah5">
    <w:name w:val="toc 5"/>
    <w:basedOn w:val="Normln"/>
    <w:next w:val="Normln"/>
    <w:autoRedefine/>
    <w:semiHidden/>
    <w:rsid w:val="008051E5"/>
    <w:pPr>
      <w:ind w:left="960"/>
    </w:pPr>
  </w:style>
  <w:style w:type="paragraph" w:styleId="Obsah6">
    <w:name w:val="toc 6"/>
    <w:basedOn w:val="Normln"/>
    <w:next w:val="Normln"/>
    <w:autoRedefine/>
    <w:semiHidden/>
    <w:rsid w:val="008051E5"/>
    <w:pPr>
      <w:ind w:left="1200"/>
    </w:pPr>
  </w:style>
  <w:style w:type="paragraph" w:styleId="Obsah7">
    <w:name w:val="toc 7"/>
    <w:basedOn w:val="Normln"/>
    <w:next w:val="Normln"/>
    <w:autoRedefine/>
    <w:semiHidden/>
    <w:rsid w:val="008051E5"/>
    <w:pPr>
      <w:ind w:left="1440"/>
    </w:pPr>
  </w:style>
  <w:style w:type="paragraph" w:styleId="Obsah8">
    <w:name w:val="toc 8"/>
    <w:basedOn w:val="Normln"/>
    <w:next w:val="Normln"/>
    <w:autoRedefine/>
    <w:semiHidden/>
    <w:rsid w:val="008051E5"/>
    <w:pPr>
      <w:ind w:left="1680"/>
    </w:pPr>
  </w:style>
  <w:style w:type="paragraph" w:styleId="Obsah9">
    <w:name w:val="toc 9"/>
    <w:basedOn w:val="Normln"/>
    <w:next w:val="Normln"/>
    <w:autoRedefine/>
    <w:semiHidden/>
    <w:rsid w:val="008051E5"/>
    <w:pPr>
      <w:ind w:left="1920"/>
    </w:pPr>
  </w:style>
  <w:style w:type="character" w:styleId="Hypertextovodkaz">
    <w:name w:val="Hyperlink"/>
    <w:basedOn w:val="Standardnpsmoodstavce"/>
    <w:uiPriority w:val="99"/>
    <w:rsid w:val="008051E5"/>
    <w:rPr>
      <w:color w:val="0000FF"/>
      <w:u w:val="single"/>
    </w:rPr>
  </w:style>
  <w:style w:type="character" w:styleId="Sledovanodkaz">
    <w:name w:val="FollowedHyperlink"/>
    <w:basedOn w:val="Standardnpsmoodstavce"/>
    <w:rsid w:val="008051E5"/>
    <w:rPr>
      <w:color w:val="800080"/>
      <w:u w:val="single"/>
    </w:rPr>
  </w:style>
  <w:style w:type="paragraph" w:styleId="Zkladntextodsazen3">
    <w:name w:val="Body Text Indent 3"/>
    <w:basedOn w:val="Normln"/>
    <w:rsid w:val="008051E5"/>
    <w:pPr>
      <w:spacing w:after="120"/>
      <w:ind w:left="283"/>
    </w:pPr>
    <w:rPr>
      <w:sz w:val="16"/>
      <w:szCs w:val="16"/>
    </w:rPr>
  </w:style>
  <w:style w:type="paragraph" w:customStyle="1" w:styleId="Texttabulky">
    <w:name w:val="Text tabulky"/>
    <w:rsid w:val="008051E5"/>
    <w:pPr>
      <w:jc w:val="both"/>
    </w:pPr>
    <w:rPr>
      <w:color w:val="000000"/>
      <w:sz w:val="24"/>
    </w:rPr>
  </w:style>
  <w:style w:type="paragraph" w:styleId="Normlnweb">
    <w:name w:val="Normal (Web)"/>
    <w:basedOn w:val="Normln"/>
    <w:rsid w:val="008051E5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Styl1">
    <w:name w:val="Styl1"/>
    <w:basedOn w:val="Zkladntext"/>
    <w:rsid w:val="008051E5"/>
    <w:pPr>
      <w:spacing w:line="360" w:lineRule="auto"/>
      <w:jc w:val="both"/>
    </w:pPr>
    <w:rPr>
      <w:i w:val="0"/>
      <w:szCs w:val="32"/>
    </w:rPr>
  </w:style>
  <w:style w:type="table" w:styleId="Mkatabulky">
    <w:name w:val="Table Grid"/>
    <w:basedOn w:val="Normlntabulka"/>
    <w:rsid w:val="00193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40">
    <w:name w:val="Nadpis 4."/>
    <w:basedOn w:val="Nadpis4"/>
    <w:rsid w:val="00B50450"/>
    <w:pPr>
      <w:numPr>
        <w:ilvl w:val="0"/>
        <w:numId w:val="0"/>
      </w:numPr>
    </w:pPr>
    <w:rPr>
      <w:szCs w:val="20"/>
    </w:rPr>
  </w:style>
  <w:style w:type="paragraph" w:customStyle="1" w:styleId="StylNadpis4Vlevo0cmPrvndek0cm1">
    <w:name w:val="Styl Nadpis 4 + Vlevo:  0 cm První řádek:  0 cm1"/>
    <w:basedOn w:val="Nadpis4"/>
    <w:rsid w:val="00FE2532"/>
    <w:pPr>
      <w:numPr>
        <w:ilvl w:val="0"/>
        <w:numId w:val="0"/>
      </w:numPr>
    </w:pPr>
    <w:rPr>
      <w:szCs w:val="20"/>
    </w:rPr>
  </w:style>
  <w:style w:type="paragraph" w:customStyle="1" w:styleId="Nadpis30">
    <w:name w:val="Nadpis 3."/>
    <w:basedOn w:val="Nadpis3"/>
    <w:rsid w:val="00FE2532"/>
    <w:pPr>
      <w:numPr>
        <w:ilvl w:val="0"/>
        <w:numId w:val="0"/>
      </w:numPr>
    </w:pPr>
    <w:rPr>
      <w:rFonts w:cs="Times New Roman"/>
      <w:szCs w:val="20"/>
    </w:rPr>
  </w:style>
  <w:style w:type="paragraph" w:customStyle="1" w:styleId="StylNadpis212bnenTun">
    <w:name w:val="Styl Nadpis 2 + 12 b. není Tučné"/>
    <w:basedOn w:val="Nadpis2"/>
    <w:rsid w:val="00252A50"/>
    <w:pPr>
      <w:numPr>
        <w:ilvl w:val="0"/>
        <w:numId w:val="0"/>
      </w:numPr>
    </w:pPr>
    <w:rPr>
      <w:bCs w:val="0"/>
      <w:iCs w:val="0"/>
      <w:sz w:val="24"/>
    </w:rPr>
  </w:style>
  <w:style w:type="paragraph" w:customStyle="1" w:styleId="Nadpis20">
    <w:name w:val="Nadpis 2."/>
    <w:basedOn w:val="Nadpis2"/>
    <w:rsid w:val="00E30B62"/>
    <w:pPr>
      <w:numPr>
        <w:ilvl w:val="0"/>
        <w:numId w:val="0"/>
      </w:numPr>
    </w:pPr>
    <w:rPr>
      <w:rFonts w:cs="Times New Roman"/>
      <w:iCs w:val="0"/>
      <w:sz w:val="24"/>
      <w:szCs w:val="20"/>
    </w:rPr>
  </w:style>
  <w:style w:type="paragraph" w:customStyle="1" w:styleId="Normln1">
    <w:name w:val="Normální1"/>
    <w:basedOn w:val="Normln"/>
    <w:rsid w:val="003B732A"/>
    <w:pPr>
      <w:ind w:firstLine="709"/>
      <w:jc w:val="both"/>
    </w:pPr>
    <w:rPr>
      <w:szCs w:val="20"/>
    </w:rPr>
  </w:style>
  <w:style w:type="paragraph" w:customStyle="1" w:styleId="StylZkladntext12bDoleva">
    <w:name w:val="Styl Základní text + 12 b. Doleva"/>
    <w:basedOn w:val="Zkladntext"/>
    <w:rsid w:val="003D5550"/>
    <w:rPr>
      <w:b w:val="0"/>
      <w:bCs/>
      <w:i w:val="0"/>
      <w:sz w:val="24"/>
    </w:rPr>
  </w:style>
  <w:style w:type="paragraph" w:customStyle="1" w:styleId="StylZkladntext12b">
    <w:name w:val="Styl Základní text + 12 b."/>
    <w:basedOn w:val="Zkladntext"/>
    <w:link w:val="StylZkladntext12bChar"/>
    <w:rsid w:val="003D5550"/>
    <w:rPr>
      <w:bCs/>
      <w:i w:val="0"/>
      <w:sz w:val="24"/>
    </w:rPr>
  </w:style>
  <w:style w:type="character" w:customStyle="1" w:styleId="StylZkladntext12bChar">
    <w:name w:val="Styl Základní text + 12 b. Char"/>
    <w:basedOn w:val="Standardnpsmoodstavce"/>
    <w:link w:val="StylZkladntext12b"/>
    <w:rsid w:val="003D5550"/>
    <w:rPr>
      <w:b/>
      <w:bCs/>
      <w:sz w:val="24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5408E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B520A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520AB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B0712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image" Target="media/image2.w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638A2-2D8F-459E-BDE7-C4B25C57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5459</Words>
  <Characters>32212</Characters>
  <Application>Microsoft Office Word</Application>
  <DocSecurity>0</DocSecurity>
  <Lines>268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15</vt:lpstr>
    </vt:vector>
  </TitlesOfParts>
  <Company>Vodní zdroje Ekomonitor, spol. s r. o.</Company>
  <LinksUpToDate>false</LinksUpToDate>
  <CharactersWithSpaces>37596</CharactersWithSpaces>
  <SharedDoc>false</SharedDoc>
  <HLinks>
    <vt:vector size="108" baseType="variant">
      <vt:variant>
        <vt:i4>1572924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_Toc295736876</vt:lpwstr>
      </vt:variant>
      <vt:variant>
        <vt:i4>1572924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_Toc295736875</vt:lpwstr>
      </vt:variant>
      <vt:variant>
        <vt:i4>1572924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_Toc295736874</vt:lpwstr>
      </vt:variant>
      <vt:variant>
        <vt:i4>1572924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_Toc295736873</vt:lpwstr>
      </vt:variant>
      <vt:variant>
        <vt:i4>1572924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_Toc295736872</vt:lpwstr>
      </vt:variant>
      <vt:variant>
        <vt:i4>1572924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_Toc295736871</vt:lpwstr>
      </vt:variant>
      <vt:variant>
        <vt:i4>1572924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_Toc295736870</vt:lpwstr>
      </vt:variant>
      <vt:variant>
        <vt:i4>1638460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_Toc295736869</vt:lpwstr>
      </vt:variant>
      <vt:variant>
        <vt:i4>1638460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_Toc295736868</vt:lpwstr>
      </vt:variant>
      <vt:variant>
        <vt:i4>1638460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_Toc295736867</vt:lpwstr>
      </vt:variant>
      <vt:variant>
        <vt:i4>1638460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_Toc295736866</vt:lpwstr>
      </vt:variant>
      <vt:variant>
        <vt:i4>1638460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_Toc295736865</vt:lpwstr>
      </vt:variant>
      <vt:variant>
        <vt:i4>1638460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_Toc295736864</vt:lpwstr>
      </vt:variant>
      <vt:variant>
        <vt:i4>1638460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_Toc295736863</vt:lpwstr>
      </vt:variant>
      <vt:variant>
        <vt:i4>1638460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_Toc295736862</vt:lpwstr>
      </vt:variant>
      <vt:variant>
        <vt:i4>1638460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_Toc295736861</vt:lpwstr>
      </vt:variant>
      <vt:variant>
        <vt:i4>1638460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_Toc295736860</vt:lpwstr>
      </vt:variant>
      <vt:variant>
        <vt:i4>1703996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_Toc295736859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</dc:title>
  <dc:creator>Your User Name</dc:creator>
  <cp:lastModifiedBy>Ondřej Borovský</cp:lastModifiedBy>
  <cp:revision>2</cp:revision>
  <cp:lastPrinted>2011-05-02T13:38:00Z</cp:lastPrinted>
  <dcterms:created xsi:type="dcterms:W3CDTF">2017-02-16T14:10:00Z</dcterms:created>
  <dcterms:modified xsi:type="dcterms:W3CDTF">2017-02-16T14:10:00Z</dcterms:modified>
</cp:coreProperties>
</file>